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7A" w:rsidRPr="007C08A6" w:rsidRDefault="00E32321" w:rsidP="007C08A6">
      <w:pPr>
        <w:spacing w:before="120" w:after="120" w:line="240" w:lineRule="auto"/>
        <w:jc w:val="center"/>
        <w:rPr>
          <w:rFonts w:cs="Times New Roman"/>
          <w:sz w:val="24"/>
          <w:szCs w:val="24"/>
        </w:rPr>
      </w:pPr>
      <w:bookmarkStart w:id="0" w:name="_GoBack"/>
      <w:bookmarkEnd w:id="0"/>
      <w:r>
        <w:rPr>
          <w:rFonts w:cs="Times New Roman"/>
          <w:sz w:val="24"/>
          <w:szCs w:val="24"/>
        </w:rPr>
        <w:t xml:space="preserve">RESOLUÇÃO Nº    </w:t>
      </w:r>
      <w:r w:rsidR="005F5130" w:rsidRPr="007C08A6">
        <w:rPr>
          <w:rFonts w:cs="Times New Roman"/>
          <w:sz w:val="24"/>
          <w:szCs w:val="24"/>
        </w:rPr>
        <w:t xml:space="preserve">DE </w:t>
      </w:r>
      <w:r>
        <w:rPr>
          <w:rFonts w:cs="Times New Roman"/>
          <w:sz w:val="24"/>
          <w:szCs w:val="24"/>
        </w:rPr>
        <w:t xml:space="preserve">    </w:t>
      </w:r>
      <w:r w:rsidR="0099417A" w:rsidRPr="007C08A6">
        <w:rPr>
          <w:rFonts w:cs="Times New Roman"/>
          <w:sz w:val="24"/>
          <w:szCs w:val="24"/>
        </w:rPr>
        <w:t xml:space="preserve">DE </w:t>
      </w:r>
      <w:r>
        <w:rPr>
          <w:rFonts w:cs="Times New Roman"/>
          <w:sz w:val="24"/>
          <w:szCs w:val="24"/>
        </w:rPr>
        <w:t xml:space="preserve">          </w:t>
      </w:r>
      <w:r w:rsidR="0099417A" w:rsidRPr="007C08A6">
        <w:rPr>
          <w:rFonts w:cs="Times New Roman"/>
          <w:sz w:val="24"/>
          <w:szCs w:val="24"/>
        </w:rPr>
        <w:t xml:space="preserve"> DE 201</w:t>
      </w:r>
      <w:r w:rsidR="00066A79" w:rsidRPr="007C08A6">
        <w:rPr>
          <w:rFonts w:cs="Times New Roman"/>
          <w:sz w:val="24"/>
          <w:szCs w:val="24"/>
        </w:rPr>
        <w:t>8</w:t>
      </w:r>
    </w:p>
    <w:p w:rsidR="0099417A" w:rsidRPr="007C08A6" w:rsidRDefault="0099417A" w:rsidP="007C08A6">
      <w:pPr>
        <w:spacing w:before="120" w:after="120" w:line="240" w:lineRule="auto"/>
        <w:jc w:val="both"/>
        <w:rPr>
          <w:rFonts w:cs="Times New Roman"/>
          <w:sz w:val="24"/>
          <w:szCs w:val="24"/>
        </w:rPr>
      </w:pPr>
    </w:p>
    <w:p w:rsidR="00311ECA" w:rsidRPr="007C08A6" w:rsidRDefault="00311ECA" w:rsidP="00311ECA">
      <w:pPr>
        <w:spacing w:before="120" w:after="120" w:line="240" w:lineRule="auto"/>
        <w:jc w:val="right"/>
        <w:rPr>
          <w:rFonts w:cs="Times New Roman"/>
          <w:sz w:val="24"/>
          <w:szCs w:val="24"/>
        </w:rPr>
      </w:pPr>
    </w:p>
    <w:p w:rsidR="0099417A" w:rsidRPr="00792F0A" w:rsidRDefault="00E32321" w:rsidP="00E32321">
      <w:pPr>
        <w:spacing w:before="120" w:after="120" w:line="240" w:lineRule="auto"/>
        <w:ind w:left="4536"/>
        <w:jc w:val="both"/>
        <w:rPr>
          <w:rFonts w:cs="Times New Roman"/>
          <w:sz w:val="24"/>
          <w:szCs w:val="24"/>
        </w:rPr>
      </w:pPr>
      <w:r w:rsidRPr="00E32321">
        <w:rPr>
          <w:rFonts w:cs="Times New Roman"/>
          <w:sz w:val="24"/>
          <w:szCs w:val="24"/>
        </w:rPr>
        <w:t>Altera a Resolução nº 3.922, de 25 de novembro de</w:t>
      </w:r>
      <w:r>
        <w:rPr>
          <w:rFonts w:cs="Times New Roman"/>
          <w:sz w:val="24"/>
          <w:szCs w:val="24"/>
        </w:rPr>
        <w:t xml:space="preserve"> </w:t>
      </w:r>
      <w:r w:rsidRPr="00E32321">
        <w:rPr>
          <w:rFonts w:cs="Times New Roman"/>
          <w:sz w:val="24"/>
          <w:szCs w:val="24"/>
        </w:rPr>
        <w:t>2010, que dispõe sobre as aplicações dos recursos dos</w:t>
      </w:r>
      <w:r>
        <w:rPr>
          <w:rFonts w:cs="Times New Roman"/>
          <w:sz w:val="24"/>
          <w:szCs w:val="24"/>
        </w:rPr>
        <w:t xml:space="preserve"> </w:t>
      </w:r>
      <w:r w:rsidRPr="00E32321">
        <w:rPr>
          <w:rFonts w:cs="Times New Roman"/>
          <w:sz w:val="24"/>
          <w:szCs w:val="24"/>
        </w:rPr>
        <w:t>regimes próprios de previdência social instituídos</w:t>
      </w:r>
      <w:r>
        <w:rPr>
          <w:rFonts w:cs="Times New Roman"/>
          <w:sz w:val="24"/>
          <w:szCs w:val="24"/>
        </w:rPr>
        <w:t xml:space="preserve"> </w:t>
      </w:r>
      <w:r w:rsidRPr="00E32321">
        <w:rPr>
          <w:rFonts w:cs="Times New Roman"/>
          <w:sz w:val="24"/>
          <w:szCs w:val="24"/>
        </w:rPr>
        <w:t>pela União, Estados, Distrito Federal e Municípios</w:t>
      </w:r>
      <w:r w:rsidR="00C222C8">
        <w:rPr>
          <w:rFonts w:cs="Times New Roman"/>
          <w:sz w:val="24"/>
          <w:szCs w:val="24"/>
        </w:rPr>
        <w:t xml:space="preserve"> e a</w:t>
      </w:r>
      <w:r w:rsidR="00C222C8" w:rsidRPr="00C222C8">
        <w:rPr>
          <w:rFonts w:cs="Times New Roman"/>
          <w:sz w:val="24"/>
          <w:szCs w:val="24"/>
        </w:rPr>
        <w:t xml:space="preserve"> </w:t>
      </w:r>
      <w:r w:rsidR="00C222C8" w:rsidRPr="0044658A">
        <w:rPr>
          <w:rFonts w:cs="Times New Roman"/>
          <w:sz w:val="24"/>
          <w:szCs w:val="24"/>
        </w:rPr>
        <w:t>Resolução nº 4.661, de 25 de maio de 2018</w:t>
      </w:r>
      <w:r w:rsidR="00C222C8">
        <w:rPr>
          <w:rFonts w:cs="Times New Roman"/>
          <w:sz w:val="24"/>
          <w:szCs w:val="24"/>
        </w:rPr>
        <w:t>, que dispõe sobre as diretrizes de aplicação dos recursos garantidores dos planos administrados pelas entidades fechadas de previdência complementar</w:t>
      </w:r>
      <w:r w:rsidRPr="00E32321">
        <w:rPr>
          <w:rFonts w:cs="Times New Roman"/>
          <w:sz w:val="24"/>
          <w:szCs w:val="24"/>
        </w:rPr>
        <w:t>.</w:t>
      </w:r>
    </w:p>
    <w:p w:rsidR="0099417A" w:rsidRPr="007C08A6" w:rsidRDefault="0099417A" w:rsidP="007C08A6">
      <w:pPr>
        <w:spacing w:before="120" w:after="120" w:line="240" w:lineRule="auto"/>
        <w:jc w:val="both"/>
        <w:rPr>
          <w:rFonts w:cs="Times New Roman"/>
          <w:sz w:val="24"/>
          <w:szCs w:val="24"/>
        </w:rPr>
      </w:pPr>
    </w:p>
    <w:p w:rsidR="0099417A" w:rsidRPr="007C08A6" w:rsidRDefault="0099417A" w:rsidP="007C08A6">
      <w:pPr>
        <w:spacing w:before="120" w:after="120" w:line="240" w:lineRule="auto"/>
        <w:jc w:val="both"/>
        <w:rPr>
          <w:rFonts w:cs="Times New Roman"/>
          <w:sz w:val="24"/>
          <w:szCs w:val="24"/>
        </w:rPr>
      </w:pPr>
    </w:p>
    <w:p w:rsidR="00D8450D" w:rsidRDefault="00D8450D" w:rsidP="00D8450D">
      <w:pPr>
        <w:spacing w:before="120" w:after="120" w:line="240" w:lineRule="auto"/>
        <w:ind w:firstLine="567"/>
        <w:jc w:val="both"/>
        <w:rPr>
          <w:rFonts w:cs="Times New Roman"/>
          <w:sz w:val="24"/>
          <w:szCs w:val="24"/>
        </w:rPr>
      </w:pPr>
      <w:r w:rsidRPr="00D8450D">
        <w:rPr>
          <w:rFonts w:cs="Times New Roman"/>
          <w:sz w:val="24"/>
          <w:szCs w:val="24"/>
        </w:rPr>
        <w:t>O Banco Central do Brasil, na forma do art. 9º da Lei nº 4.595, de 31 de dezembro</w:t>
      </w:r>
      <w:r>
        <w:rPr>
          <w:rFonts w:cs="Times New Roman"/>
          <w:sz w:val="24"/>
          <w:szCs w:val="24"/>
        </w:rPr>
        <w:t xml:space="preserve"> </w:t>
      </w:r>
      <w:r w:rsidRPr="00D8450D">
        <w:rPr>
          <w:rFonts w:cs="Times New Roman"/>
          <w:sz w:val="24"/>
          <w:szCs w:val="24"/>
        </w:rPr>
        <w:t xml:space="preserve">de 1964, torna público que o Conselho Monetário Nacional, em sessão realizada em </w:t>
      </w:r>
      <w:r w:rsidR="00217FBB">
        <w:rPr>
          <w:rFonts w:cs="Times New Roman"/>
          <w:sz w:val="24"/>
          <w:szCs w:val="24"/>
        </w:rPr>
        <w:t>xx</w:t>
      </w:r>
      <w:r w:rsidRPr="00D8450D">
        <w:rPr>
          <w:rFonts w:cs="Times New Roman"/>
          <w:sz w:val="24"/>
          <w:szCs w:val="24"/>
        </w:rPr>
        <w:t xml:space="preserve"> de </w:t>
      </w:r>
      <w:r w:rsidR="00217FBB">
        <w:rPr>
          <w:rFonts w:cs="Times New Roman"/>
          <w:sz w:val="24"/>
          <w:szCs w:val="24"/>
        </w:rPr>
        <w:t>xxx</w:t>
      </w:r>
      <w:r>
        <w:rPr>
          <w:rFonts w:cs="Times New Roman"/>
          <w:sz w:val="24"/>
          <w:szCs w:val="24"/>
        </w:rPr>
        <w:t xml:space="preserve"> de</w:t>
      </w:r>
      <w:r w:rsidRPr="00D8450D">
        <w:rPr>
          <w:rFonts w:cs="Times New Roman"/>
          <w:sz w:val="24"/>
          <w:szCs w:val="24"/>
        </w:rPr>
        <w:t xml:space="preserve"> 201</w:t>
      </w:r>
      <w:r w:rsidR="00BB3AD5">
        <w:rPr>
          <w:rFonts w:cs="Times New Roman"/>
          <w:sz w:val="24"/>
          <w:szCs w:val="24"/>
        </w:rPr>
        <w:t>8</w:t>
      </w:r>
      <w:r w:rsidRPr="00D8450D">
        <w:rPr>
          <w:rFonts w:cs="Times New Roman"/>
          <w:sz w:val="24"/>
          <w:szCs w:val="24"/>
        </w:rPr>
        <w:t>, com base no parágrafo único do art. 1º e no inciso IV do art. 6º da Lei nº 9.717, de 27 de</w:t>
      </w:r>
      <w:r>
        <w:rPr>
          <w:rFonts w:cs="Times New Roman"/>
          <w:sz w:val="24"/>
          <w:szCs w:val="24"/>
        </w:rPr>
        <w:t xml:space="preserve"> </w:t>
      </w:r>
      <w:r w:rsidRPr="00D8450D">
        <w:rPr>
          <w:rFonts w:cs="Times New Roman"/>
          <w:sz w:val="24"/>
          <w:szCs w:val="24"/>
        </w:rPr>
        <w:t>novembro de 1998,</w:t>
      </w:r>
    </w:p>
    <w:p w:rsidR="0099417A" w:rsidRPr="007C08A6" w:rsidRDefault="00D8450D" w:rsidP="00D8450D">
      <w:pPr>
        <w:spacing w:before="120" w:after="120" w:line="240" w:lineRule="auto"/>
        <w:ind w:firstLine="567"/>
        <w:jc w:val="both"/>
        <w:rPr>
          <w:rFonts w:cs="Times New Roman"/>
          <w:sz w:val="24"/>
          <w:szCs w:val="24"/>
        </w:rPr>
      </w:pPr>
      <w:r>
        <w:rPr>
          <w:rFonts w:cs="Times New Roman"/>
          <w:sz w:val="24"/>
          <w:szCs w:val="24"/>
        </w:rPr>
        <w:t>RESOLVEU</w:t>
      </w:r>
      <w:r w:rsidR="0099417A" w:rsidRPr="007C08A6">
        <w:rPr>
          <w:rFonts w:cs="Times New Roman"/>
          <w:sz w:val="24"/>
          <w:szCs w:val="24"/>
        </w:rPr>
        <w:t xml:space="preserve">: </w:t>
      </w:r>
    </w:p>
    <w:p w:rsidR="0099417A" w:rsidRPr="007C08A6" w:rsidRDefault="0099417A" w:rsidP="00D8450D">
      <w:pPr>
        <w:spacing w:before="120" w:after="120" w:line="240" w:lineRule="auto"/>
        <w:ind w:firstLine="567"/>
        <w:jc w:val="both"/>
        <w:rPr>
          <w:rFonts w:cs="Times New Roman"/>
          <w:sz w:val="24"/>
          <w:szCs w:val="24"/>
        </w:rPr>
      </w:pPr>
      <w:r w:rsidRPr="00FF4067">
        <w:rPr>
          <w:rFonts w:cs="Times New Roman"/>
          <w:sz w:val="24"/>
          <w:szCs w:val="24"/>
        </w:rPr>
        <w:t>Art. 1º</w:t>
      </w:r>
      <w:r w:rsidR="000445D8" w:rsidRPr="00FF4067">
        <w:rPr>
          <w:rFonts w:cs="Times New Roman"/>
          <w:sz w:val="24"/>
          <w:szCs w:val="24"/>
        </w:rPr>
        <w:t xml:space="preserve"> </w:t>
      </w:r>
      <w:r w:rsidRPr="00FF4067">
        <w:rPr>
          <w:rFonts w:cs="Times New Roman"/>
          <w:sz w:val="24"/>
          <w:szCs w:val="24"/>
        </w:rPr>
        <w:t xml:space="preserve"> </w:t>
      </w:r>
      <w:r w:rsidR="00D8450D" w:rsidRPr="00FF4067">
        <w:rPr>
          <w:rFonts w:cs="Times New Roman"/>
          <w:sz w:val="24"/>
          <w:szCs w:val="24"/>
        </w:rPr>
        <w:t xml:space="preserve">Os arts. 1º, 2º, 4º, 6º, 7º, 8º, </w:t>
      </w:r>
      <w:r w:rsidR="00FF4067" w:rsidRPr="00FF4067">
        <w:rPr>
          <w:rFonts w:cs="Times New Roman"/>
          <w:sz w:val="24"/>
          <w:szCs w:val="24"/>
        </w:rPr>
        <w:t>11, 13</w:t>
      </w:r>
      <w:r w:rsidR="00D8450D" w:rsidRPr="00FF4067">
        <w:rPr>
          <w:rFonts w:cs="Times New Roman"/>
          <w:sz w:val="24"/>
          <w:szCs w:val="24"/>
        </w:rPr>
        <w:t>, 15, 17</w:t>
      </w:r>
      <w:r w:rsidR="00FF4067" w:rsidRPr="00FF4067">
        <w:rPr>
          <w:rFonts w:cs="Times New Roman"/>
          <w:sz w:val="24"/>
          <w:szCs w:val="24"/>
        </w:rPr>
        <w:t xml:space="preserve"> e</w:t>
      </w:r>
      <w:r w:rsidR="00D8450D" w:rsidRPr="00FF4067">
        <w:rPr>
          <w:rFonts w:cs="Times New Roman"/>
          <w:sz w:val="24"/>
          <w:szCs w:val="24"/>
        </w:rPr>
        <w:t xml:space="preserve"> 18 da Resolução nº 3.922, de 25 de novembro de 2010, passam a vigorar com a seguinte redação</w:t>
      </w:r>
      <w:r w:rsidRPr="00FF4067">
        <w:rPr>
          <w:rFonts w:cs="Times New Roman"/>
          <w:sz w:val="24"/>
          <w:szCs w:val="24"/>
        </w:rPr>
        <w:t>:</w:t>
      </w:r>
    </w:p>
    <w:p w:rsidR="00066A79" w:rsidRPr="007C08A6" w:rsidRDefault="007D179B" w:rsidP="00D35631">
      <w:pPr>
        <w:tabs>
          <w:tab w:val="left" w:pos="7797"/>
        </w:tabs>
        <w:spacing w:before="120" w:after="120" w:line="240" w:lineRule="auto"/>
        <w:ind w:left="1134"/>
        <w:jc w:val="both"/>
        <w:rPr>
          <w:rFonts w:cs="Times New Roman"/>
          <w:sz w:val="24"/>
          <w:szCs w:val="24"/>
        </w:rPr>
      </w:pPr>
      <w:r w:rsidRPr="007C08A6">
        <w:rPr>
          <w:rFonts w:cs="Times New Roman"/>
          <w:sz w:val="24"/>
          <w:szCs w:val="24"/>
        </w:rPr>
        <w:t>"</w:t>
      </w:r>
      <w:r w:rsidR="00066A79" w:rsidRPr="007C08A6">
        <w:rPr>
          <w:rFonts w:cs="Times New Roman"/>
          <w:sz w:val="24"/>
          <w:szCs w:val="24"/>
        </w:rPr>
        <w:t xml:space="preserve">Art. </w:t>
      </w:r>
      <w:r w:rsidR="00D8450D">
        <w:rPr>
          <w:rFonts w:cs="Times New Roman"/>
          <w:sz w:val="24"/>
          <w:szCs w:val="24"/>
        </w:rPr>
        <w:t>1</w:t>
      </w:r>
      <w:r w:rsidR="00066A79" w:rsidRPr="007C08A6">
        <w:rPr>
          <w:rFonts w:cs="Times New Roman"/>
          <w:sz w:val="24"/>
          <w:szCs w:val="24"/>
        </w:rPr>
        <w:t>º  ...........................................................................................</w:t>
      </w:r>
      <w:r w:rsidR="003A249C">
        <w:rPr>
          <w:rFonts w:cs="Times New Roman"/>
          <w:sz w:val="24"/>
          <w:szCs w:val="24"/>
        </w:rPr>
        <w:t>..</w:t>
      </w:r>
      <w:r w:rsidR="00775944">
        <w:rPr>
          <w:rFonts w:cs="Times New Roman"/>
          <w:sz w:val="24"/>
          <w:szCs w:val="24"/>
        </w:rPr>
        <w:t>............................</w:t>
      </w:r>
    </w:p>
    <w:p w:rsidR="00066A79" w:rsidRPr="007C08A6" w:rsidRDefault="00066A79" w:rsidP="007C08A6">
      <w:pPr>
        <w:spacing w:before="120" w:after="120" w:line="240" w:lineRule="auto"/>
        <w:ind w:left="1134"/>
        <w:jc w:val="both"/>
        <w:rPr>
          <w:rFonts w:cs="Times New Roman"/>
          <w:sz w:val="24"/>
          <w:szCs w:val="24"/>
        </w:rPr>
      </w:pPr>
      <w:r w:rsidRPr="007C08A6">
        <w:rPr>
          <w:rFonts w:cs="Times New Roman"/>
          <w:sz w:val="24"/>
          <w:szCs w:val="24"/>
        </w:rPr>
        <w:t>...........................................................................................................</w:t>
      </w:r>
      <w:r w:rsidR="00775944">
        <w:rPr>
          <w:rFonts w:cs="Times New Roman"/>
          <w:sz w:val="24"/>
          <w:szCs w:val="24"/>
        </w:rPr>
        <w:t>...................</w:t>
      </w:r>
      <w:r w:rsidR="00972FE0">
        <w:rPr>
          <w:rFonts w:cs="Times New Roman"/>
          <w:sz w:val="24"/>
          <w:szCs w:val="24"/>
        </w:rPr>
        <w:t>..</w:t>
      </w:r>
      <w:r w:rsidR="00775944">
        <w:rPr>
          <w:rFonts w:cs="Times New Roman"/>
          <w:sz w:val="24"/>
          <w:szCs w:val="24"/>
        </w:rPr>
        <w:t>.........</w:t>
      </w:r>
    </w:p>
    <w:p w:rsidR="008643DF" w:rsidRDefault="00F321C9" w:rsidP="007C08A6">
      <w:pPr>
        <w:spacing w:before="120" w:after="120" w:line="240" w:lineRule="auto"/>
        <w:ind w:left="1134"/>
        <w:jc w:val="both"/>
        <w:rPr>
          <w:rFonts w:cs="Times New Roman"/>
          <w:sz w:val="24"/>
          <w:szCs w:val="24"/>
        </w:rPr>
      </w:pPr>
      <w:r w:rsidRPr="007C08A6">
        <w:rPr>
          <w:rFonts w:cs="Times New Roman"/>
          <w:sz w:val="24"/>
          <w:szCs w:val="24"/>
        </w:rPr>
        <w:t xml:space="preserve">§ </w:t>
      </w:r>
      <w:r w:rsidR="00E73465" w:rsidRPr="007C08A6">
        <w:rPr>
          <w:rFonts w:cs="Times New Roman"/>
          <w:sz w:val="24"/>
          <w:szCs w:val="24"/>
        </w:rPr>
        <w:t xml:space="preserve">1º </w:t>
      </w:r>
      <w:r w:rsidR="00066A79" w:rsidRPr="007C08A6">
        <w:rPr>
          <w:rFonts w:cs="Times New Roman"/>
          <w:sz w:val="24"/>
          <w:szCs w:val="24"/>
        </w:rPr>
        <w:t xml:space="preserve"> ...........................................................................................................</w:t>
      </w:r>
      <w:r w:rsidR="00775944">
        <w:rPr>
          <w:rFonts w:cs="Times New Roman"/>
          <w:sz w:val="24"/>
          <w:szCs w:val="24"/>
        </w:rPr>
        <w:t>.........................</w:t>
      </w:r>
    </w:p>
    <w:p w:rsidR="00651174" w:rsidRDefault="00651174" w:rsidP="007C08A6">
      <w:pPr>
        <w:spacing w:before="120" w:after="120" w:line="240" w:lineRule="auto"/>
        <w:ind w:left="1134"/>
        <w:jc w:val="both"/>
        <w:rPr>
          <w:rFonts w:cs="Times New Roman"/>
          <w:sz w:val="24"/>
          <w:szCs w:val="24"/>
        </w:rPr>
      </w:pPr>
      <w:r>
        <w:rPr>
          <w:rFonts w:cs="Times New Roman"/>
          <w:sz w:val="24"/>
          <w:szCs w:val="24"/>
        </w:rPr>
        <w:t>...........................................................................................................................................</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IV - adotar regras, procedimentos e controles internos que visem garantir o cumprimento de suas obrigações, respeitando a política de investimentos estabelecida, observados os segmentos, limites e demais requisitos previstos nesta Resolução e os parâmetros estabelecidos nas normas gerais de organização e funcionamento desses regimes, em regulamentação da Secretaria de Previdência do Ministério da Fazenda;</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V - realizar com diligência a seleção, o acompanhamento e a avaliação de prestadores de serviços contratados;</w:t>
      </w:r>
    </w:p>
    <w:p w:rsid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VI - realizar o prévio credenciamento, o acompanhamento e a avaliação do gestor e do administrador dos fundos de investimento e das demais instituições escolhidas para receber as aplicações, observados os parâmetros estabelecidos de acordo com o inciso IV.</w:t>
      </w:r>
    </w:p>
    <w:p w:rsidR="0062009E" w:rsidRDefault="0062009E" w:rsidP="007C08A6">
      <w:pPr>
        <w:spacing w:before="120" w:after="120" w:line="240" w:lineRule="auto"/>
        <w:ind w:left="1134"/>
        <w:jc w:val="both"/>
        <w:rPr>
          <w:rFonts w:cs="Times New Roman"/>
          <w:sz w:val="24"/>
          <w:szCs w:val="24"/>
        </w:rPr>
      </w:pPr>
    </w:p>
    <w:p w:rsidR="008643DF" w:rsidRDefault="008643DF" w:rsidP="007C08A6">
      <w:pPr>
        <w:spacing w:before="120" w:after="120" w:line="240" w:lineRule="auto"/>
        <w:ind w:left="1134"/>
        <w:jc w:val="both"/>
        <w:rPr>
          <w:rFonts w:cs="Times New Roman"/>
          <w:sz w:val="24"/>
          <w:szCs w:val="24"/>
        </w:rPr>
      </w:pPr>
      <w:r>
        <w:rPr>
          <w:rFonts w:cs="Times New Roman"/>
          <w:sz w:val="24"/>
          <w:szCs w:val="24"/>
        </w:rPr>
        <w:t xml:space="preserve">§ </w:t>
      </w:r>
      <w:r w:rsidR="0037437A">
        <w:rPr>
          <w:rFonts w:cs="Times New Roman"/>
          <w:sz w:val="24"/>
          <w:szCs w:val="24"/>
        </w:rPr>
        <w:t xml:space="preserve">2º </w:t>
      </w:r>
      <w:r w:rsidR="00FE401C">
        <w:rPr>
          <w:rFonts w:cs="Times New Roman"/>
          <w:sz w:val="24"/>
          <w:szCs w:val="24"/>
        </w:rPr>
        <w:t xml:space="preserve"> </w:t>
      </w:r>
      <w:r w:rsidR="0037437A">
        <w:rPr>
          <w:rFonts w:cs="Times New Roman"/>
          <w:sz w:val="24"/>
          <w:szCs w:val="24"/>
        </w:rPr>
        <w:t>..........................................................................................................................</w:t>
      </w:r>
      <w:r w:rsidR="00972FE0">
        <w:rPr>
          <w:rFonts w:cs="Times New Roman"/>
          <w:sz w:val="24"/>
          <w:szCs w:val="24"/>
        </w:rPr>
        <w:t>......</w:t>
      </w:r>
      <w:r w:rsidR="0037437A">
        <w:rPr>
          <w:rFonts w:cs="Times New Roman"/>
          <w:sz w:val="24"/>
          <w:szCs w:val="24"/>
        </w:rPr>
        <w:t>....</w:t>
      </w:r>
    </w:p>
    <w:p w:rsidR="0062009E" w:rsidRDefault="0062009E" w:rsidP="0037437A">
      <w:pPr>
        <w:spacing w:before="120" w:after="120" w:line="240" w:lineRule="auto"/>
        <w:ind w:left="1134"/>
        <w:jc w:val="both"/>
        <w:rPr>
          <w:rFonts w:cs="Times New Roman"/>
          <w:sz w:val="24"/>
          <w:szCs w:val="24"/>
        </w:rPr>
      </w:pP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lastRenderedPageBreak/>
        <w:t>§ 3º  Os parâmetros para o credenciamento das instituições de que trata o inciso VI do § 1º deverão contemplar, dentre outros, o histórico e experiência de atuação, o volume de recursos sob a gestão e administração da instituição, a solidez patrimonial, a exposição a risco reputacional, padrão ético de conduta e aderência da rentabilidade a indicadores de desempenho.</w:t>
      </w:r>
    </w:p>
    <w:p w:rsidR="0062009E" w:rsidRPr="0062009E" w:rsidRDefault="0062009E" w:rsidP="0062009E">
      <w:pPr>
        <w:autoSpaceDE w:val="0"/>
        <w:autoSpaceDN w:val="0"/>
        <w:adjustRightInd w:val="0"/>
        <w:ind w:left="1134"/>
        <w:jc w:val="both"/>
        <w:rPr>
          <w:rFonts w:cs="Times New Roman"/>
          <w:sz w:val="24"/>
          <w:szCs w:val="24"/>
        </w:rPr>
      </w:pPr>
      <w:r w:rsidRPr="0062009E">
        <w:rPr>
          <w:rFonts w:cs="Times New Roman"/>
          <w:sz w:val="24"/>
          <w:szCs w:val="24"/>
        </w:rPr>
        <w:t xml:space="preserve">§ 4º  </w:t>
      </w:r>
      <w:r w:rsidR="00E83E19" w:rsidRPr="00B772E9">
        <w:rPr>
          <w:rFonts w:cs="Times New Roman"/>
          <w:sz w:val="24"/>
          <w:szCs w:val="24"/>
        </w:rPr>
        <w:t>Entende-se por responsáveis pela gestão, para fins dessa resolução,</w:t>
      </w:r>
      <w:r w:rsidR="00E83E19">
        <w:rPr>
          <w:rFonts w:cs="Times New Roman"/>
          <w:sz w:val="24"/>
          <w:szCs w:val="24"/>
        </w:rPr>
        <w:t xml:space="preserve"> </w:t>
      </w:r>
      <w:r w:rsidRPr="0062009E">
        <w:rPr>
          <w:rFonts w:cs="Times New Roman"/>
          <w:sz w:val="24"/>
          <w:szCs w:val="24"/>
        </w:rPr>
        <w:t>as pessoas que participam do processo de análise, de assessoramento e decisório sobre a aplicação dos recursos dos regimes próprios de previdência social e os participantes do mercado de títulos e valores mobiliários no que se refere à distribuição, intermediação e administração dos ativos aplicados por esses regimes.</w:t>
      </w:r>
    </w:p>
    <w:p w:rsidR="0062009E" w:rsidRPr="0062009E" w:rsidRDefault="0062009E" w:rsidP="0062009E">
      <w:pPr>
        <w:spacing w:before="120" w:after="120" w:line="240" w:lineRule="auto"/>
        <w:ind w:left="1134"/>
        <w:jc w:val="both"/>
        <w:rPr>
          <w:rFonts w:cs="Times New Roman"/>
          <w:sz w:val="24"/>
          <w:szCs w:val="24"/>
        </w:rPr>
      </w:pPr>
      <w:r w:rsidRPr="0062009E">
        <w:rPr>
          <w:rFonts w:cs="Times New Roman"/>
          <w:sz w:val="24"/>
          <w:szCs w:val="24"/>
        </w:rPr>
        <w:t>§ 5º Incluem-se no rol de pessoas previstas no § 4º, na medida de suas atribuições, os gestores, dirigentes e membros dos conselhos e órgãos colegiados de deliberação, de fiscalização ou do comitê de investimentos do regime próprio de previdência social, os consultores e outros profissionais que participem do processo de análise, de assessoramento e decisório sobre a aplicação dos recursos do regime próprio de previdência social, diretamente ou por intermédio de pessoa jurídica contratada e os agentes que participam da distribuição, intermediação e administração dos ativos aplicados por esses regimes.</w:t>
      </w:r>
    </w:p>
    <w:p w:rsidR="0037437A" w:rsidRPr="0037437A" w:rsidRDefault="00EF2AA7" w:rsidP="0062009E">
      <w:pPr>
        <w:spacing w:before="120" w:after="120" w:line="240" w:lineRule="auto"/>
        <w:ind w:left="1134"/>
        <w:jc w:val="both"/>
        <w:rPr>
          <w:rFonts w:cs="Times New Roman"/>
          <w:sz w:val="24"/>
          <w:szCs w:val="24"/>
        </w:rPr>
      </w:pPr>
      <w:r>
        <w:rPr>
          <w:rFonts w:cs="Times New Roman"/>
          <w:sz w:val="24"/>
          <w:szCs w:val="24"/>
        </w:rPr>
        <w:t xml:space="preserve">§ 6º </w:t>
      </w:r>
      <w:r w:rsidR="0037437A" w:rsidRPr="0037437A">
        <w:rPr>
          <w:rFonts w:cs="Times New Roman"/>
          <w:sz w:val="24"/>
          <w:szCs w:val="24"/>
        </w:rPr>
        <w:t>O regime próprio de previdência social deve definir claramente a separação de responsabilidades de todos os agentes que participem do processo de análise, avaliação, gerenciamento, assessoramento e decisão sobre a aplicação dos recursos, inclusive com a definição das alçadas de decisão de cada instância.</w:t>
      </w:r>
    </w:p>
    <w:p w:rsidR="00066A79" w:rsidRPr="007C08A6" w:rsidRDefault="00EF2AA7" w:rsidP="007C08A6">
      <w:pPr>
        <w:spacing w:before="120" w:after="120" w:line="240" w:lineRule="auto"/>
        <w:ind w:left="1134"/>
        <w:jc w:val="both"/>
        <w:rPr>
          <w:rFonts w:cs="Times New Roman"/>
          <w:sz w:val="24"/>
          <w:szCs w:val="24"/>
        </w:rPr>
      </w:pPr>
      <w:r>
        <w:rPr>
          <w:rFonts w:cs="Times New Roman"/>
          <w:sz w:val="24"/>
          <w:szCs w:val="24"/>
        </w:rPr>
        <w:t xml:space="preserve">§ 7º </w:t>
      </w:r>
      <w:r w:rsidR="0037437A" w:rsidRPr="0037437A">
        <w:rPr>
          <w:rFonts w:cs="Times New Roman"/>
          <w:sz w:val="24"/>
          <w:szCs w:val="24"/>
        </w:rPr>
        <w:t>O regime próprio de previdência social deverá manter registro, por meio digital, de todos os documentos que suportem a tomada de decisão na aplicação de recursos.</w:t>
      </w:r>
      <w:r w:rsidR="0037437A">
        <w:rPr>
          <w:rFonts w:cs="Times New Roman"/>
          <w:sz w:val="24"/>
          <w:szCs w:val="24"/>
        </w:rPr>
        <w:t>”</w:t>
      </w:r>
      <w:r w:rsidR="008643DF">
        <w:rPr>
          <w:rFonts w:cs="Times New Roman"/>
          <w:sz w:val="24"/>
          <w:szCs w:val="24"/>
        </w:rPr>
        <w:t xml:space="preserve"> </w:t>
      </w:r>
      <w:r w:rsidR="00676E6E">
        <w:rPr>
          <w:rFonts w:cs="Times New Roman"/>
          <w:sz w:val="24"/>
          <w:szCs w:val="24"/>
        </w:rPr>
        <w:t>(NR)</w:t>
      </w:r>
    </w:p>
    <w:p w:rsidR="00E81CBD" w:rsidRDefault="00E81CBD" w:rsidP="007C08A6">
      <w:pPr>
        <w:spacing w:before="120" w:after="120" w:line="240" w:lineRule="auto"/>
        <w:ind w:left="1134"/>
        <w:jc w:val="both"/>
        <w:rPr>
          <w:rFonts w:cs="Times New Roman"/>
          <w:sz w:val="24"/>
          <w:szCs w:val="24"/>
        </w:rPr>
      </w:pPr>
    </w:p>
    <w:p w:rsidR="00E73465" w:rsidRPr="007C08A6" w:rsidRDefault="00676E6E" w:rsidP="007C08A6">
      <w:pPr>
        <w:spacing w:before="120" w:after="120" w:line="240" w:lineRule="auto"/>
        <w:ind w:left="1134"/>
        <w:jc w:val="both"/>
        <w:rPr>
          <w:rFonts w:cs="Times New Roman"/>
          <w:sz w:val="24"/>
          <w:szCs w:val="24"/>
        </w:rPr>
      </w:pPr>
      <w:r>
        <w:rPr>
          <w:rFonts w:cs="Times New Roman"/>
          <w:sz w:val="24"/>
          <w:szCs w:val="24"/>
        </w:rPr>
        <w:t>“</w:t>
      </w:r>
      <w:r w:rsidR="00E73465" w:rsidRPr="007C08A6">
        <w:rPr>
          <w:rFonts w:cs="Times New Roman"/>
          <w:sz w:val="24"/>
          <w:szCs w:val="24"/>
        </w:rPr>
        <w:t xml:space="preserve">Art. </w:t>
      </w:r>
      <w:r w:rsidR="0037437A">
        <w:rPr>
          <w:rFonts w:cs="Times New Roman"/>
          <w:sz w:val="24"/>
          <w:szCs w:val="24"/>
        </w:rPr>
        <w:t>2º</w:t>
      </w:r>
      <w:r w:rsidR="00E73465" w:rsidRPr="007C08A6">
        <w:rPr>
          <w:rFonts w:cs="Times New Roman"/>
          <w:sz w:val="24"/>
          <w:szCs w:val="24"/>
        </w:rPr>
        <w:t xml:space="preserve">  ......</w:t>
      </w:r>
      <w:r w:rsidR="0037437A">
        <w:rPr>
          <w:rFonts w:cs="Times New Roman"/>
          <w:sz w:val="24"/>
          <w:szCs w:val="24"/>
        </w:rPr>
        <w:t>......</w:t>
      </w:r>
      <w:r w:rsidR="00E73465" w:rsidRPr="007C08A6">
        <w:rPr>
          <w:rFonts w:cs="Times New Roman"/>
          <w:sz w:val="24"/>
          <w:szCs w:val="24"/>
        </w:rPr>
        <w:t>...................................................................................</w:t>
      </w:r>
      <w:r w:rsidR="00D2649D" w:rsidRPr="007C08A6">
        <w:rPr>
          <w:rFonts w:cs="Times New Roman"/>
          <w:sz w:val="24"/>
          <w:szCs w:val="24"/>
        </w:rPr>
        <w:t>.</w:t>
      </w:r>
      <w:r w:rsidR="00E73465" w:rsidRPr="007C08A6">
        <w:rPr>
          <w:rFonts w:cs="Times New Roman"/>
          <w:sz w:val="24"/>
          <w:szCs w:val="24"/>
        </w:rPr>
        <w:t>...</w:t>
      </w:r>
      <w:r w:rsidR="00723A71">
        <w:rPr>
          <w:rFonts w:cs="Times New Roman"/>
          <w:sz w:val="24"/>
          <w:szCs w:val="24"/>
        </w:rPr>
        <w:t>....................</w:t>
      </w:r>
    </w:p>
    <w:p w:rsidR="00E73465" w:rsidRPr="007C08A6" w:rsidRDefault="00E73465" w:rsidP="007C08A6">
      <w:pPr>
        <w:spacing w:before="120" w:after="120" w:line="240" w:lineRule="auto"/>
        <w:ind w:left="1134"/>
        <w:jc w:val="both"/>
        <w:rPr>
          <w:rFonts w:cs="Times New Roman"/>
          <w:sz w:val="24"/>
          <w:szCs w:val="24"/>
        </w:rPr>
      </w:pPr>
      <w:r w:rsidRPr="007C08A6">
        <w:rPr>
          <w:rFonts w:cs="Times New Roman"/>
          <w:sz w:val="24"/>
          <w:szCs w:val="24"/>
        </w:rPr>
        <w:t>......</w:t>
      </w:r>
      <w:r w:rsidR="0037437A">
        <w:rPr>
          <w:rFonts w:cs="Times New Roman"/>
          <w:sz w:val="24"/>
          <w:szCs w:val="24"/>
        </w:rPr>
        <w:t>.....</w:t>
      </w:r>
      <w:r w:rsidRPr="007C08A6">
        <w:rPr>
          <w:rFonts w:cs="Times New Roman"/>
          <w:sz w:val="24"/>
          <w:szCs w:val="24"/>
        </w:rPr>
        <w:t>.....................................................................................................</w:t>
      </w:r>
      <w:r w:rsidR="003C0246">
        <w:rPr>
          <w:rFonts w:cs="Times New Roman"/>
          <w:sz w:val="24"/>
          <w:szCs w:val="24"/>
        </w:rPr>
        <w:t>..</w:t>
      </w:r>
      <w:r w:rsidR="00723A71">
        <w:rPr>
          <w:rFonts w:cs="Times New Roman"/>
          <w:sz w:val="24"/>
          <w:szCs w:val="24"/>
        </w:rPr>
        <w:t>...................</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 - renda fixa;</w:t>
      </w:r>
    </w:p>
    <w:p w:rsid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II - renda variável e investimentos estruturados;</w:t>
      </w:r>
    </w:p>
    <w:p w:rsidR="0037437A" w:rsidRDefault="0037437A" w:rsidP="0037437A">
      <w:pPr>
        <w:spacing w:before="120" w:after="120" w:line="240" w:lineRule="auto"/>
        <w:ind w:left="1134"/>
        <w:jc w:val="both"/>
        <w:rPr>
          <w:rFonts w:cs="Times New Roman"/>
          <w:sz w:val="24"/>
          <w:szCs w:val="24"/>
        </w:rPr>
      </w:pPr>
      <w:r>
        <w:rPr>
          <w:rFonts w:cs="Times New Roman"/>
          <w:sz w:val="24"/>
          <w:szCs w:val="24"/>
        </w:rPr>
        <w:t>III - ...............................................................................................................................</w:t>
      </w:r>
    </w:p>
    <w:p w:rsid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IV - investimentos no exterior.</w:t>
      </w:r>
    </w:p>
    <w:p w:rsidR="006D7016" w:rsidRPr="0037437A" w:rsidRDefault="006D7016" w:rsidP="0037437A">
      <w:pPr>
        <w:spacing w:before="120" w:after="120" w:line="240" w:lineRule="auto"/>
        <w:ind w:left="1134"/>
        <w:jc w:val="both"/>
        <w:rPr>
          <w:rFonts w:cs="Times New Roman"/>
          <w:sz w:val="24"/>
          <w:szCs w:val="24"/>
        </w:rPr>
      </w:pP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 1º Para efeito desta Resolução, são considerados investimentos estruturados:</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 - fundos de investimento classificados como multimercado;</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II - fundo</w:t>
      </w:r>
      <w:r w:rsidR="006C21F1">
        <w:rPr>
          <w:rFonts w:cs="Times New Roman"/>
          <w:sz w:val="24"/>
          <w:szCs w:val="24"/>
        </w:rPr>
        <w:t>s</w:t>
      </w:r>
      <w:r w:rsidRPr="0037437A">
        <w:rPr>
          <w:rFonts w:cs="Times New Roman"/>
          <w:sz w:val="24"/>
          <w:szCs w:val="24"/>
        </w:rPr>
        <w:t xml:space="preserve"> de investimento em participações (FIP);</w:t>
      </w:r>
      <w:r w:rsidR="002B2F18">
        <w:rPr>
          <w:rFonts w:cs="Times New Roman"/>
          <w:sz w:val="24"/>
          <w:szCs w:val="24"/>
        </w:rPr>
        <w:t xml:space="preserve"> e</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III - fundos de investimento classificados como “Ações - Mercado de Acesso”</w:t>
      </w:r>
      <w:r w:rsidR="00AE1A45">
        <w:rPr>
          <w:rFonts w:cs="Times New Roman"/>
          <w:sz w:val="24"/>
          <w:szCs w:val="24"/>
        </w:rPr>
        <w:t>.</w:t>
      </w:r>
      <w:r w:rsidR="00725CA7">
        <w:rPr>
          <w:rFonts w:cs="Times New Roman"/>
          <w:sz w:val="24"/>
          <w:szCs w:val="24"/>
        </w:rPr>
        <w:t xml:space="preserve"> </w:t>
      </w:r>
    </w:p>
    <w:p w:rsidR="002B2F18" w:rsidRDefault="002B2F18" w:rsidP="0037437A">
      <w:pPr>
        <w:spacing w:before="120" w:after="120" w:line="240" w:lineRule="auto"/>
        <w:ind w:left="1134"/>
        <w:jc w:val="both"/>
        <w:rPr>
          <w:rFonts w:cs="Times New Roman"/>
          <w:sz w:val="24"/>
          <w:szCs w:val="24"/>
        </w:rPr>
      </w:pP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 2º  Os fundos de investimento objeto de aplicação por parte dos regimes próprios de previdência social devem ser registrados na Comissão de Valores Mobiliários (CVM) e os investimentos por eles realizados</w:t>
      </w:r>
      <w:r w:rsidR="0005756C">
        <w:rPr>
          <w:rFonts w:cs="Times New Roman"/>
          <w:sz w:val="24"/>
          <w:szCs w:val="24"/>
        </w:rPr>
        <w:t xml:space="preserve">, </w:t>
      </w:r>
      <w:r w:rsidR="0005756C" w:rsidRPr="0005756C">
        <w:rPr>
          <w:rFonts w:cs="Times New Roman"/>
          <w:sz w:val="24"/>
          <w:szCs w:val="24"/>
        </w:rPr>
        <w:t xml:space="preserve">inclusive por meio de cotas de fundos de </w:t>
      </w:r>
      <w:r w:rsidR="0005756C" w:rsidRPr="0005756C">
        <w:rPr>
          <w:rFonts w:cs="Times New Roman"/>
          <w:sz w:val="24"/>
          <w:szCs w:val="24"/>
        </w:rPr>
        <w:lastRenderedPageBreak/>
        <w:t>investimento,</w:t>
      </w:r>
      <w:r w:rsidRPr="0037437A">
        <w:rPr>
          <w:rFonts w:cs="Times New Roman"/>
          <w:sz w:val="24"/>
          <w:szCs w:val="24"/>
        </w:rPr>
        <w:t xml:space="preserve"> devem observar os requisitos dos ativos financeiros estabelecidos nesta Resolução.</w:t>
      </w:r>
    </w:p>
    <w:p w:rsidR="00E73465" w:rsidRDefault="00F62143" w:rsidP="0037437A">
      <w:pPr>
        <w:spacing w:before="120" w:after="120" w:line="240" w:lineRule="auto"/>
        <w:ind w:left="1134"/>
        <w:jc w:val="both"/>
        <w:rPr>
          <w:rFonts w:cs="Times New Roman"/>
          <w:sz w:val="24"/>
          <w:szCs w:val="24"/>
        </w:rPr>
      </w:pPr>
      <w:r>
        <w:rPr>
          <w:rFonts w:cs="Times New Roman"/>
          <w:sz w:val="24"/>
          <w:szCs w:val="24"/>
        </w:rPr>
        <w:t xml:space="preserve">§ 3º </w:t>
      </w:r>
      <w:r w:rsidR="0037437A" w:rsidRPr="0037437A">
        <w:rPr>
          <w:rFonts w:cs="Times New Roman"/>
          <w:sz w:val="24"/>
          <w:szCs w:val="24"/>
        </w:rPr>
        <w:t>Os regimes próprios de previdência social devem avaliar os custos decorrentes das aplicações, inclusive daquelas efetuadas por meio de fundos de investimento e divulgar as despesas com as aplicações e com a contratação de prestadores de serviços.</w:t>
      </w:r>
      <w:r w:rsidR="0037437A">
        <w:rPr>
          <w:rFonts w:cs="Times New Roman"/>
          <w:sz w:val="24"/>
          <w:szCs w:val="24"/>
        </w:rPr>
        <w:t xml:space="preserve">” </w:t>
      </w:r>
      <w:r w:rsidR="00E73465" w:rsidRPr="007C08A6">
        <w:rPr>
          <w:rFonts w:cs="Times New Roman"/>
          <w:sz w:val="24"/>
          <w:szCs w:val="24"/>
        </w:rPr>
        <w:t xml:space="preserve"> (NR)</w:t>
      </w:r>
    </w:p>
    <w:p w:rsidR="0037437A" w:rsidRDefault="0037437A" w:rsidP="0037437A">
      <w:pPr>
        <w:spacing w:before="120" w:after="120" w:line="240" w:lineRule="auto"/>
        <w:ind w:left="1134"/>
        <w:jc w:val="both"/>
        <w:rPr>
          <w:rFonts w:cs="Times New Roman"/>
          <w:sz w:val="24"/>
          <w:szCs w:val="24"/>
        </w:rPr>
      </w:pPr>
    </w:p>
    <w:p w:rsidR="0037437A" w:rsidRPr="007C08A6" w:rsidRDefault="0037437A" w:rsidP="0037437A">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 xml:space="preserve">Art. </w:t>
      </w:r>
      <w:r>
        <w:rPr>
          <w:rFonts w:cs="Times New Roman"/>
          <w:sz w:val="24"/>
          <w:szCs w:val="24"/>
        </w:rPr>
        <w:t>4º</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p>
    <w:p w:rsidR="0037437A" w:rsidRDefault="0037437A" w:rsidP="0037437A">
      <w:pPr>
        <w:spacing w:before="120" w:after="120" w:line="240" w:lineRule="auto"/>
        <w:ind w:left="1134"/>
        <w:jc w:val="both"/>
        <w:rPr>
          <w:rFonts w:cs="Times New Roman"/>
          <w:sz w:val="24"/>
          <w:szCs w:val="24"/>
        </w:rPr>
      </w:pP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III - os parâmetros de rentabilidade perseguidos, que deverão buscar compatibilidade com o perfil de suas obrigações, tendo em vista a necessidade de busca e manutenção do equilíbrio financeiro e atuarial e os limites de diversificação e concentração previstos nesta Resolução;</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IV - os limites utilizados para investimentos em títulos e valores mobiliários de emissão ou coobrigação de uma mesma pessoa jurídica;</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V - a metodologia, os critérios e as fontes de referência a serem adotados para precificação dos ativos de que trata o art. 3º;</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VI - a metodologia e os critérios a serem adotados para análise prévia dos riscos dos investimentos, bem como as diretrizes para o seu controle e monitoramento;</w:t>
      </w:r>
    </w:p>
    <w:p w:rsidR="0037437A" w:rsidRP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VII - a metodologia e os critérios a serem adotados para avaliação e acompanhamento do retorno esperado dos investimentos;</w:t>
      </w:r>
    </w:p>
    <w:p w:rsidR="0037437A" w:rsidRDefault="0037437A" w:rsidP="0037437A">
      <w:pPr>
        <w:spacing w:before="120" w:after="120" w:line="240" w:lineRule="auto"/>
        <w:ind w:left="1134"/>
        <w:jc w:val="both"/>
        <w:rPr>
          <w:rFonts w:cs="Times New Roman"/>
          <w:sz w:val="24"/>
          <w:szCs w:val="24"/>
        </w:rPr>
      </w:pPr>
      <w:r w:rsidRPr="0037437A">
        <w:rPr>
          <w:rFonts w:cs="Times New Roman"/>
          <w:sz w:val="24"/>
          <w:szCs w:val="24"/>
        </w:rPr>
        <w:t>VIII - o plano de contingência, a ser aplicado no exercício seguinte, com as medidas a serem adotadas em caso de descumprimento dos limites e requisitos previstos nesta Resolução e dos parâmetros estabelecidos nas normas gerais dos regimes próprios de previdência social, de excessiva exposição a riscos ou de potenciais perdas dos recursos.</w:t>
      </w:r>
    </w:p>
    <w:p w:rsidR="00972FE0" w:rsidRDefault="00972FE0" w:rsidP="00972FE0">
      <w:pPr>
        <w:spacing w:before="120" w:after="120" w:line="240" w:lineRule="auto"/>
        <w:ind w:left="1134"/>
        <w:jc w:val="both"/>
        <w:rPr>
          <w:rFonts w:cs="Times New Roman"/>
          <w:sz w:val="24"/>
          <w:szCs w:val="24"/>
        </w:rPr>
      </w:pPr>
      <w:r>
        <w:rPr>
          <w:rFonts w:cs="Times New Roman"/>
          <w:sz w:val="24"/>
          <w:szCs w:val="24"/>
        </w:rPr>
        <w:t>§ 1º  ....................................................................................................................................</w:t>
      </w:r>
    </w:p>
    <w:p w:rsidR="00972FE0" w:rsidRDefault="00972FE0" w:rsidP="00972FE0">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972FE0" w:rsidRDefault="00972FE0" w:rsidP="00972FE0">
      <w:pPr>
        <w:spacing w:before="120" w:after="120" w:line="240" w:lineRule="auto"/>
        <w:ind w:left="1134"/>
        <w:jc w:val="both"/>
        <w:rPr>
          <w:rFonts w:cs="Times New Roman"/>
          <w:sz w:val="24"/>
          <w:szCs w:val="24"/>
        </w:rPr>
      </w:pPr>
      <w:r w:rsidRPr="00972FE0">
        <w:rPr>
          <w:rFonts w:cs="Times New Roman"/>
          <w:sz w:val="24"/>
          <w:szCs w:val="24"/>
        </w:rPr>
        <w:t>§ 3º</w:t>
      </w:r>
      <w:r>
        <w:rPr>
          <w:rFonts w:cs="Times New Roman"/>
          <w:sz w:val="24"/>
          <w:szCs w:val="24"/>
        </w:rPr>
        <w:t xml:space="preserve">  </w:t>
      </w:r>
      <w:r w:rsidRPr="00972FE0">
        <w:rPr>
          <w:rFonts w:cs="Times New Roman"/>
          <w:sz w:val="24"/>
          <w:szCs w:val="24"/>
        </w:rPr>
        <w:t>A elaboração, a revisão e as informações constantes na política de investimentos devem observar os parâmetros de que trata o inciso IV do §1º do art. 1º.</w:t>
      </w:r>
      <w:r>
        <w:rPr>
          <w:rFonts w:cs="Times New Roman"/>
          <w:sz w:val="24"/>
          <w:szCs w:val="24"/>
        </w:rPr>
        <w:t>” (NR)</w:t>
      </w:r>
    </w:p>
    <w:p w:rsidR="00972FE0" w:rsidRDefault="00972FE0" w:rsidP="00972FE0">
      <w:pPr>
        <w:spacing w:before="120" w:after="120" w:line="240" w:lineRule="auto"/>
        <w:ind w:left="1134"/>
        <w:jc w:val="both"/>
        <w:rPr>
          <w:rFonts w:cs="Times New Roman"/>
          <w:sz w:val="24"/>
          <w:szCs w:val="24"/>
        </w:rPr>
      </w:pPr>
    </w:p>
    <w:p w:rsidR="00972FE0" w:rsidRPr="007C08A6" w:rsidRDefault="00972FE0" w:rsidP="00972FE0">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 xml:space="preserve">Art. </w:t>
      </w:r>
      <w:r>
        <w:rPr>
          <w:rFonts w:cs="Times New Roman"/>
          <w:sz w:val="24"/>
          <w:szCs w:val="24"/>
        </w:rPr>
        <w:t>6º</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p>
    <w:p w:rsidR="00972FE0" w:rsidRPr="00972FE0" w:rsidRDefault="00972FE0" w:rsidP="00972FE0">
      <w:pPr>
        <w:tabs>
          <w:tab w:val="left" w:pos="3408"/>
        </w:tabs>
        <w:spacing w:before="120" w:after="120" w:line="240" w:lineRule="auto"/>
        <w:ind w:left="1134"/>
        <w:jc w:val="both"/>
        <w:rPr>
          <w:rFonts w:cs="Times New Roman"/>
          <w:sz w:val="24"/>
          <w:szCs w:val="24"/>
        </w:rPr>
      </w:pPr>
      <w:r w:rsidRPr="00972FE0">
        <w:rPr>
          <w:rFonts w:cs="Times New Roman"/>
          <w:sz w:val="24"/>
          <w:szCs w:val="24"/>
        </w:rPr>
        <w:t xml:space="preserve">§ 1º </w:t>
      </w:r>
      <w:r w:rsidR="00651174">
        <w:rPr>
          <w:rFonts w:cs="Times New Roman"/>
          <w:sz w:val="24"/>
          <w:szCs w:val="24"/>
        </w:rPr>
        <w:t xml:space="preserve"> </w:t>
      </w:r>
      <w:r w:rsidRPr="00972FE0">
        <w:rPr>
          <w:rFonts w:cs="Times New Roman"/>
          <w:sz w:val="24"/>
          <w:szCs w:val="24"/>
        </w:rPr>
        <w:t>As aplicações e a continuidade dos investimentos nos ativos de que trata o art. 3º deverão observar a compatibilidade dos ativos investidos com os prazos, montantes e taxas das obrigações atuariais presentes e futuras do regime próprio de previdência social, com o objetivo de manter o equilíbrio econômico-financeiro entre ativos e passivos do regime.</w:t>
      </w:r>
    </w:p>
    <w:p w:rsidR="00972FE0" w:rsidRPr="00972FE0" w:rsidRDefault="00972FE0" w:rsidP="00972FE0">
      <w:pPr>
        <w:tabs>
          <w:tab w:val="left" w:pos="3408"/>
        </w:tabs>
        <w:spacing w:before="120" w:after="120" w:line="240" w:lineRule="auto"/>
        <w:ind w:left="1134"/>
        <w:jc w:val="both"/>
        <w:rPr>
          <w:rFonts w:cs="Times New Roman"/>
          <w:sz w:val="24"/>
          <w:szCs w:val="24"/>
        </w:rPr>
      </w:pPr>
      <w:r w:rsidRPr="00972FE0">
        <w:rPr>
          <w:rFonts w:cs="Times New Roman"/>
          <w:sz w:val="24"/>
          <w:szCs w:val="24"/>
        </w:rPr>
        <w:t>§ 2º</w:t>
      </w:r>
      <w:r w:rsidR="00651174">
        <w:rPr>
          <w:rFonts w:cs="Times New Roman"/>
          <w:sz w:val="24"/>
          <w:szCs w:val="24"/>
        </w:rPr>
        <w:t xml:space="preserve"> </w:t>
      </w:r>
      <w:r w:rsidRPr="00972FE0">
        <w:rPr>
          <w:rFonts w:cs="Times New Roman"/>
          <w:sz w:val="24"/>
          <w:szCs w:val="24"/>
        </w:rPr>
        <w:t xml:space="preserve"> Para garantir a compatibilidade de que trata o § 1º, os responsáveis pela gestão do regime próprio de previdência social devem:</w:t>
      </w:r>
    </w:p>
    <w:p w:rsidR="00972FE0" w:rsidRPr="00972FE0" w:rsidRDefault="00972FE0" w:rsidP="00972FE0">
      <w:pPr>
        <w:tabs>
          <w:tab w:val="left" w:pos="3408"/>
        </w:tabs>
        <w:spacing w:before="120" w:after="120" w:line="240" w:lineRule="auto"/>
        <w:ind w:left="1134"/>
        <w:jc w:val="both"/>
        <w:rPr>
          <w:rFonts w:cs="Times New Roman"/>
          <w:sz w:val="24"/>
          <w:szCs w:val="24"/>
        </w:rPr>
      </w:pPr>
      <w:r w:rsidRPr="00972FE0">
        <w:rPr>
          <w:rFonts w:cs="Times New Roman"/>
          <w:sz w:val="24"/>
          <w:szCs w:val="24"/>
        </w:rPr>
        <w:t>I - manter procedimentos e controles internos formalizados para a gestão do risco de liquidez das aplicações de forma que os recursos estejam disponíveis na data do pagamento dos benefícios e demais obrigações do regime;</w:t>
      </w:r>
    </w:p>
    <w:p w:rsidR="00F62143" w:rsidRDefault="00972FE0" w:rsidP="00972FE0">
      <w:pPr>
        <w:tabs>
          <w:tab w:val="left" w:pos="3408"/>
        </w:tabs>
        <w:spacing w:before="120" w:after="120" w:line="240" w:lineRule="auto"/>
        <w:ind w:left="1134"/>
        <w:jc w:val="both"/>
        <w:rPr>
          <w:rFonts w:cs="Times New Roman"/>
          <w:sz w:val="24"/>
          <w:szCs w:val="24"/>
        </w:rPr>
      </w:pPr>
      <w:r w:rsidRPr="00972FE0">
        <w:rPr>
          <w:rFonts w:cs="Times New Roman"/>
          <w:sz w:val="24"/>
          <w:szCs w:val="24"/>
        </w:rPr>
        <w:lastRenderedPageBreak/>
        <w:t>II - realizar o acompanhamento dos fluxos de pagamentos dos ativos, assegurando o cumprimento dos prazos e dos montantes das obrigações do regime, independentemente de tratar-se de gestão própria ou por entidade autorizada e credenciada de que trata o art. 15.</w:t>
      </w:r>
      <w:r w:rsidR="00F62143">
        <w:rPr>
          <w:rFonts w:cs="Times New Roman"/>
          <w:sz w:val="24"/>
          <w:szCs w:val="24"/>
        </w:rPr>
        <w:t>” (NR)</w:t>
      </w:r>
    </w:p>
    <w:p w:rsidR="00F62143" w:rsidRDefault="00F62143" w:rsidP="00972FE0">
      <w:pPr>
        <w:tabs>
          <w:tab w:val="left" w:pos="3408"/>
        </w:tabs>
        <w:spacing w:before="120" w:after="120" w:line="240" w:lineRule="auto"/>
        <w:ind w:left="1134"/>
        <w:jc w:val="both"/>
        <w:rPr>
          <w:rFonts w:cs="Times New Roman"/>
          <w:sz w:val="24"/>
          <w:szCs w:val="24"/>
        </w:rPr>
      </w:pPr>
    </w:p>
    <w:p w:rsidR="00F62143" w:rsidRPr="007C08A6" w:rsidRDefault="00F62143" w:rsidP="00F62143">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 xml:space="preserve">Art. </w:t>
      </w:r>
      <w:r>
        <w:rPr>
          <w:rFonts w:cs="Times New Roman"/>
          <w:sz w:val="24"/>
          <w:szCs w:val="24"/>
        </w:rPr>
        <w:t>7º</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p>
    <w:p w:rsidR="00F62143" w:rsidRPr="007C08A6" w:rsidRDefault="00F62143" w:rsidP="00F62143">
      <w:pPr>
        <w:spacing w:before="120" w:after="120" w:line="240" w:lineRule="auto"/>
        <w:ind w:left="1134"/>
        <w:jc w:val="both"/>
        <w:rPr>
          <w:rFonts w:cs="Times New Roman"/>
          <w:sz w:val="24"/>
          <w:szCs w:val="24"/>
        </w:rPr>
      </w:pP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F62143" w:rsidRDefault="00F62143" w:rsidP="00F62143">
      <w:pPr>
        <w:spacing w:before="120" w:after="120" w:line="240" w:lineRule="auto"/>
        <w:ind w:left="1134"/>
        <w:jc w:val="both"/>
        <w:rPr>
          <w:rFonts w:cs="Times New Roman"/>
          <w:sz w:val="24"/>
          <w:szCs w:val="24"/>
        </w:rPr>
      </w:pPr>
      <w:r>
        <w:rPr>
          <w:rFonts w:cs="Times New Roman"/>
          <w:sz w:val="24"/>
          <w:szCs w:val="24"/>
        </w:rPr>
        <w:t>I - .................................................................................................................................</w:t>
      </w:r>
    </w:p>
    <w:p w:rsidR="00FE401C" w:rsidRDefault="00FE401C" w:rsidP="00F62143">
      <w:pPr>
        <w:spacing w:before="120" w:after="120" w:line="240" w:lineRule="auto"/>
        <w:ind w:left="1134"/>
        <w:jc w:val="both"/>
        <w:rPr>
          <w:rFonts w:cs="Times New Roman"/>
          <w:sz w:val="24"/>
          <w:szCs w:val="24"/>
        </w:rPr>
      </w:pPr>
      <w:r>
        <w:rPr>
          <w:rFonts w:cs="Times New Roman"/>
          <w:sz w:val="24"/>
          <w:szCs w:val="24"/>
        </w:rPr>
        <w:t>.....................................................................................................................................</w:t>
      </w:r>
    </w:p>
    <w:p w:rsidR="00F62143" w:rsidRDefault="00F62143" w:rsidP="00F62143">
      <w:pPr>
        <w:spacing w:before="120" w:after="120" w:line="240" w:lineRule="auto"/>
        <w:ind w:left="1134"/>
        <w:jc w:val="both"/>
        <w:rPr>
          <w:rFonts w:cs="Times New Roman"/>
          <w:sz w:val="24"/>
          <w:szCs w:val="24"/>
        </w:rPr>
      </w:pPr>
      <w:r w:rsidRPr="00F62143">
        <w:rPr>
          <w:rFonts w:cs="Times New Roman"/>
          <w:sz w:val="24"/>
          <w:szCs w:val="24"/>
        </w:rPr>
        <w:t xml:space="preserve">b) cotas de fundos de investimento classificados como renda fixa, conforme regulamentação estabelecida pela Comissão de Valores Mobiliários (CVM), constituídos sob a forma de condomínio aberto, que apliquem seus recursos exclusivamente em títulos definidos na alínea "a", ou compromissadas lastreadas nesses títulos, e cuja política de investimento </w:t>
      </w:r>
      <w:r w:rsidR="0074087B">
        <w:rPr>
          <w:rFonts w:cs="Times New Roman"/>
          <w:sz w:val="24"/>
          <w:szCs w:val="24"/>
        </w:rPr>
        <w:t>assuma o compromisso de buscar o retorno de</w:t>
      </w:r>
      <w:r w:rsidRPr="00F62143">
        <w:rPr>
          <w:rFonts w:cs="Times New Roman"/>
          <w:sz w:val="24"/>
          <w:szCs w:val="24"/>
        </w:rPr>
        <w:t xml:space="preserve"> índice de renda fixa não atrelado à taxa de juros de um dia, cuja carteira teórica seja composta exclusivamente por títulos públicos (fundos de renda fixa);</w:t>
      </w:r>
    </w:p>
    <w:p w:rsidR="00F62143" w:rsidRPr="00DA32B4" w:rsidRDefault="00941DE7" w:rsidP="00F62143">
      <w:pPr>
        <w:spacing w:before="120" w:after="120" w:line="240" w:lineRule="auto"/>
        <w:ind w:left="1134"/>
        <w:jc w:val="both"/>
        <w:rPr>
          <w:rFonts w:cs="Times New Roman"/>
          <w:sz w:val="24"/>
          <w:szCs w:val="24"/>
        </w:rPr>
      </w:pPr>
      <w:r w:rsidRPr="00DA32B4">
        <w:rPr>
          <w:rFonts w:cs="Times New Roman"/>
          <w:sz w:val="24"/>
          <w:szCs w:val="24"/>
        </w:rPr>
        <w:t>.....</w:t>
      </w:r>
      <w:r w:rsidR="00F62143" w:rsidRPr="00DA32B4">
        <w:rPr>
          <w:rFonts w:cs="Times New Roman"/>
          <w:sz w:val="24"/>
          <w:szCs w:val="24"/>
        </w:rPr>
        <w:t>.......................................................................................................................................</w:t>
      </w:r>
    </w:p>
    <w:p w:rsidR="00F62143" w:rsidRDefault="00F62143" w:rsidP="00F62143">
      <w:pPr>
        <w:spacing w:before="120" w:after="120" w:line="240" w:lineRule="auto"/>
        <w:ind w:left="1134"/>
        <w:jc w:val="both"/>
        <w:rPr>
          <w:rFonts w:cs="Times New Roman"/>
          <w:sz w:val="24"/>
          <w:szCs w:val="24"/>
        </w:rPr>
      </w:pPr>
      <w:r>
        <w:rPr>
          <w:rFonts w:cs="Times New Roman"/>
          <w:sz w:val="24"/>
          <w:szCs w:val="24"/>
        </w:rPr>
        <w:t>§ 4º  ..............................................................................................................................</w:t>
      </w:r>
      <w:r w:rsidR="00651174">
        <w:rPr>
          <w:rFonts w:cs="Times New Roman"/>
          <w:sz w:val="24"/>
          <w:szCs w:val="24"/>
        </w:rPr>
        <w:t>....</w:t>
      </w:r>
    </w:p>
    <w:p w:rsidR="00651174" w:rsidRDefault="00651174" w:rsidP="00F62143">
      <w:pPr>
        <w:spacing w:before="120" w:after="120" w:line="240" w:lineRule="auto"/>
        <w:ind w:left="1134"/>
        <w:jc w:val="both"/>
        <w:rPr>
          <w:rFonts w:cs="Times New Roman"/>
          <w:sz w:val="24"/>
          <w:szCs w:val="24"/>
        </w:rPr>
      </w:pPr>
      <w:r>
        <w:rPr>
          <w:rFonts w:cs="Times New Roman"/>
          <w:sz w:val="24"/>
          <w:szCs w:val="24"/>
        </w:rPr>
        <w:t>..........................................................................................................................................</w:t>
      </w:r>
    </w:p>
    <w:p w:rsidR="00941DE7" w:rsidRDefault="00941DE7" w:rsidP="00F62143">
      <w:pPr>
        <w:spacing w:before="120" w:after="120" w:line="240" w:lineRule="auto"/>
        <w:ind w:left="1134"/>
        <w:jc w:val="both"/>
        <w:rPr>
          <w:rFonts w:cs="Times New Roman"/>
          <w:sz w:val="24"/>
          <w:szCs w:val="24"/>
        </w:rPr>
      </w:pPr>
      <w:r w:rsidRPr="00941DE7">
        <w:rPr>
          <w:rFonts w:cs="Times New Roman"/>
          <w:sz w:val="24"/>
          <w:szCs w:val="24"/>
        </w:rPr>
        <w:t>IV - que o total das aplicações de regimes próprios de previdência social represente, no máximo, 50% (cinquenta por cento) do total de cotas seniores de um mesmo fundo de investimento em direitos creditórios.</w:t>
      </w:r>
    </w:p>
    <w:p w:rsidR="00941DE7" w:rsidRDefault="00941DE7" w:rsidP="00F62143">
      <w:pPr>
        <w:spacing w:before="120" w:after="120" w:line="240" w:lineRule="auto"/>
        <w:ind w:left="1134"/>
        <w:jc w:val="both"/>
        <w:rPr>
          <w:rFonts w:cs="Times New Roman"/>
          <w:sz w:val="24"/>
          <w:szCs w:val="24"/>
        </w:rPr>
      </w:pPr>
      <w:r>
        <w:rPr>
          <w:rFonts w:cs="Times New Roman"/>
          <w:sz w:val="24"/>
          <w:szCs w:val="24"/>
        </w:rPr>
        <w:t>.......................................................................................................................................</w:t>
      </w:r>
    </w:p>
    <w:p w:rsidR="00941DE7" w:rsidRPr="004D0A84" w:rsidRDefault="00941DE7" w:rsidP="00941DE7">
      <w:pPr>
        <w:spacing w:before="120" w:after="120" w:line="240" w:lineRule="auto"/>
        <w:ind w:left="1134"/>
        <w:jc w:val="both"/>
        <w:rPr>
          <w:rFonts w:cs="Times New Roman"/>
          <w:sz w:val="24"/>
          <w:szCs w:val="24"/>
        </w:rPr>
      </w:pPr>
      <w:r>
        <w:rPr>
          <w:rFonts w:cs="Times New Roman"/>
          <w:sz w:val="24"/>
          <w:szCs w:val="24"/>
        </w:rPr>
        <w:t xml:space="preserve">§ 8º  </w:t>
      </w:r>
      <w:r w:rsidRPr="004D0A84">
        <w:rPr>
          <w:rFonts w:cs="Times New Roman"/>
          <w:sz w:val="24"/>
          <w:szCs w:val="24"/>
        </w:rPr>
        <w:t>...............................................................................................................................</w:t>
      </w:r>
    </w:p>
    <w:p w:rsidR="00941DE7" w:rsidRDefault="00941DE7" w:rsidP="00941DE7">
      <w:pPr>
        <w:spacing w:before="120" w:after="120" w:line="240" w:lineRule="auto"/>
        <w:ind w:left="1134"/>
        <w:jc w:val="both"/>
        <w:rPr>
          <w:rFonts w:cs="Times New Roman"/>
          <w:sz w:val="24"/>
          <w:szCs w:val="24"/>
        </w:rPr>
      </w:pPr>
      <w:r w:rsidRPr="004D0A84">
        <w:rPr>
          <w:rFonts w:cs="Times New Roman"/>
          <w:sz w:val="24"/>
          <w:szCs w:val="24"/>
        </w:rPr>
        <w:t>I - ser emitidos por instituição financeira bancária autorizada a funcionar pelo Banco Central do Brasil;</w:t>
      </w:r>
    </w:p>
    <w:p w:rsidR="00941DE7" w:rsidRDefault="00941DE7" w:rsidP="00941DE7">
      <w:pPr>
        <w:spacing w:before="120" w:after="120" w:line="240" w:lineRule="auto"/>
        <w:ind w:left="1134"/>
        <w:jc w:val="both"/>
        <w:rPr>
          <w:rFonts w:cs="Times New Roman"/>
          <w:sz w:val="24"/>
          <w:szCs w:val="24"/>
        </w:rPr>
      </w:pPr>
      <w:r>
        <w:rPr>
          <w:rFonts w:cs="Times New Roman"/>
          <w:sz w:val="24"/>
          <w:szCs w:val="24"/>
        </w:rPr>
        <w:t>.......................................................................................................................................</w:t>
      </w:r>
    </w:p>
    <w:p w:rsidR="0000106D" w:rsidRPr="0000106D" w:rsidRDefault="0000106D" w:rsidP="0000106D">
      <w:pPr>
        <w:autoSpaceDE w:val="0"/>
        <w:autoSpaceDN w:val="0"/>
        <w:adjustRightInd w:val="0"/>
        <w:ind w:left="1134"/>
        <w:jc w:val="both"/>
        <w:rPr>
          <w:rFonts w:cs="Times New Roman"/>
          <w:sz w:val="24"/>
          <w:szCs w:val="24"/>
        </w:rPr>
      </w:pPr>
      <w:r w:rsidRPr="0000106D">
        <w:rPr>
          <w:rFonts w:cs="Times New Roman"/>
          <w:sz w:val="24"/>
          <w:szCs w:val="24"/>
        </w:rPr>
        <w:t>§ 10.  Os regimes próprios de previdência social que comprovarem a adoção de melhores práticas de gestão previdenciária à Secretaria de Previdência do Ministério da Fazenda, conforme 4 (quatro) níveis crescentes de aderência na forma por ela estabelecidos, terão os limites para aplicação dos recursos nos ativos de que tratam os incisos do caput deste artigo elevados da seguinte forma:</w:t>
      </w:r>
    </w:p>
    <w:p w:rsidR="0000106D" w:rsidRPr="0000106D" w:rsidRDefault="0000106D" w:rsidP="0000106D">
      <w:pPr>
        <w:autoSpaceDE w:val="0"/>
        <w:autoSpaceDN w:val="0"/>
        <w:adjustRightInd w:val="0"/>
        <w:ind w:left="1134"/>
        <w:jc w:val="both"/>
        <w:rPr>
          <w:rFonts w:cs="Times New Roman"/>
          <w:sz w:val="24"/>
          <w:szCs w:val="24"/>
        </w:rPr>
      </w:pPr>
      <w:r w:rsidRPr="0000106D">
        <w:rPr>
          <w:rFonts w:cs="Times New Roman"/>
          <w:sz w:val="24"/>
          <w:szCs w:val="24"/>
        </w:rPr>
        <w:t>I - quanto aos ativos de que tratam os incisos III, IV e a alínea “b” do inciso VII, um acréscimo de 5 (cinco) pontos percentuais a cada nível de governança comprovado;</w:t>
      </w:r>
    </w:p>
    <w:p w:rsidR="0000106D" w:rsidRPr="0000106D" w:rsidRDefault="0000106D" w:rsidP="0000106D">
      <w:pPr>
        <w:autoSpaceDE w:val="0"/>
        <w:autoSpaceDN w:val="0"/>
        <w:adjustRightInd w:val="0"/>
        <w:ind w:left="1134"/>
        <w:jc w:val="both"/>
        <w:rPr>
          <w:rFonts w:cs="Times New Roman"/>
          <w:sz w:val="24"/>
          <w:szCs w:val="24"/>
        </w:rPr>
      </w:pPr>
      <w:r w:rsidRPr="0000106D">
        <w:rPr>
          <w:rFonts w:cs="Times New Roman"/>
          <w:sz w:val="24"/>
          <w:szCs w:val="24"/>
        </w:rPr>
        <w:t>II - quanto aos ativos de que tratam as alíneas “a” e “c” do inciso VII, um acréscimo de 5 (cinco)  pontos percentuais a cada nível de governança comprovado, iniciando-se no segundo nível;</w:t>
      </w:r>
    </w:p>
    <w:p w:rsidR="0000106D" w:rsidRPr="0000106D" w:rsidRDefault="0000106D" w:rsidP="0000106D">
      <w:pPr>
        <w:autoSpaceDE w:val="0"/>
        <w:autoSpaceDN w:val="0"/>
        <w:adjustRightInd w:val="0"/>
        <w:ind w:left="1134"/>
        <w:jc w:val="both"/>
        <w:rPr>
          <w:rFonts w:cs="Times New Roman"/>
          <w:sz w:val="24"/>
          <w:szCs w:val="24"/>
        </w:rPr>
      </w:pPr>
      <w:r w:rsidRPr="0000106D">
        <w:rPr>
          <w:rFonts w:cs="Times New Roman"/>
          <w:sz w:val="24"/>
          <w:szCs w:val="24"/>
        </w:rPr>
        <w:t xml:space="preserve">III - quanto aos ativos de que tratam as alíneas “a”, “b” e “c” do inciso VII, os limites acrescidos ficarão sujeitos a um limite global de 20% (vinte por cento) para o primeiro </w:t>
      </w:r>
      <w:r w:rsidRPr="0000106D">
        <w:rPr>
          <w:rFonts w:cs="Times New Roman"/>
          <w:sz w:val="24"/>
          <w:szCs w:val="24"/>
        </w:rPr>
        <w:lastRenderedPageBreak/>
        <w:t xml:space="preserve">nível, 25% (vinte e cinco por cento) para o segundo nível, 30% (trinta por cento) para o terceiro nível e 35% (trinta e cinco por cento) para o </w:t>
      </w:r>
      <w:r w:rsidR="003658A1">
        <w:rPr>
          <w:rFonts w:cs="Times New Roman"/>
          <w:sz w:val="24"/>
          <w:szCs w:val="24"/>
        </w:rPr>
        <w:t>quarto</w:t>
      </w:r>
      <w:r w:rsidRPr="0000106D">
        <w:rPr>
          <w:rFonts w:cs="Times New Roman"/>
          <w:sz w:val="24"/>
          <w:szCs w:val="24"/>
        </w:rPr>
        <w:t xml:space="preserve"> nível de governança comprovado.</w:t>
      </w:r>
    </w:p>
    <w:p w:rsidR="0000106D" w:rsidRPr="00DA32B4" w:rsidRDefault="0000106D" w:rsidP="0000106D">
      <w:pPr>
        <w:autoSpaceDE w:val="0"/>
        <w:autoSpaceDN w:val="0"/>
        <w:adjustRightInd w:val="0"/>
        <w:ind w:left="1134"/>
        <w:jc w:val="both"/>
        <w:rPr>
          <w:rFonts w:cs="Times New Roman"/>
          <w:sz w:val="24"/>
          <w:szCs w:val="24"/>
        </w:rPr>
      </w:pPr>
      <w:r w:rsidRPr="0000106D">
        <w:rPr>
          <w:rFonts w:cs="Times New Roman"/>
          <w:sz w:val="24"/>
          <w:szCs w:val="24"/>
        </w:rPr>
        <w:t>§ 11.  Os regimes próprios de previdência social que não alcançarem os níveis de governança previstos no § 10 subordinam-se aos limites de que tratam os incisos do caput deste artigo</w:t>
      </w:r>
      <w:r w:rsidRPr="00DA32B4">
        <w:rPr>
          <w:rFonts w:cs="Times New Roman"/>
          <w:sz w:val="24"/>
          <w:szCs w:val="24"/>
        </w:rPr>
        <w:t>.</w:t>
      </w:r>
      <w:r w:rsidR="00B9760F">
        <w:rPr>
          <w:rFonts w:cs="Times New Roman"/>
          <w:sz w:val="24"/>
          <w:szCs w:val="24"/>
        </w:rPr>
        <w:t>”(NR)</w:t>
      </w:r>
    </w:p>
    <w:p w:rsidR="00941DE7" w:rsidRDefault="00941DE7" w:rsidP="00941DE7">
      <w:pPr>
        <w:spacing w:before="120" w:after="120" w:line="240" w:lineRule="auto"/>
        <w:ind w:left="1134"/>
        <w:jc w:val="both"/>
        <w:rPr>
          <w:rFonts w:cs="Times New Roman"/>
          <w:sz w:val="24"/>
          <w:szCs w:val="24"/>
        </w:rPr>
      </w:pPr>
    </w:p>
    <w:p w:rsidR="00941DE7" w:rsidRPr="007C08A6" w:rsidRDefault="00941DE7" w:rsidP="00941DE7">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 xml:space="preserve">Art. </w:t>
      </w:r>
      <w:r>
        <w:rPr>
          <w:rFonts w:cs="Times New Roman"/>
          <w:sz w:val="24"/>
          <w:szCs w:val="24"/>
        </w:rPr>
        <w:t>8º</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p>
    <w:p w:rsidR="00941DE7" w:rsidRPr="007C08A6" w:rsidRDefault="00941DE7" w:rsidP="00941DE7">
      <w:pPr>
        <w:spacing w:before="120" w:after="120" w:line="240" w:lineRule="auto"/>
        <w:ind w:left="1134"/>
        <w:jc w:val="both"/>
        <w:rPr>
          <w:rFonts w:cs="Times New Roman"/>
          <w:sz w:val="24"/>
          <w:szCs w:val="24"/>
        </w:rPr>
      </w:pP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941DE7" w:rsidRDefault="00941DE7" w:rsidP="00941DE7">
      <w:pPr>
        <w:spacing w:before="120" w:after="120" w:line="240" w:lineRule="auto"/>
        <w:ind w:left="1134"/>
        <w:jc w:val="both"/>
        <w:rPr>
          <w:rFonts w:cs="Times New Roman"/>
          <w:sz w:val="24"/>
          <w:szCs w:val="24"/>
        </w:rPr>
      </w:pPr>
      <w:r>
        <w:rPr>
          <w:rFonts w:cs="Times New Roman"/>
          <w:sz w:val="24"/>
          <w:szCs w:val="24"/>
        </w:rPr>
        <w:t>I - .................................................................................................................................</w:t>
      </w:r>
    </w:p>
    <w:p w:rsidR="00941DE7" w:rsidRDefault="00941DE7" w:rsidP="00941DE7">
      <w:pPr>
        <w:spacing w:before="120" w:after="120" w:line="240" w:lineRule="auto"/>
        <w:ind w:left="1134"/>
        <w:jc w:val="both"/>
        <w:rPr>
          <w:rFonts w:cs="Times New Roman"/>
          <w:sz w:val="24"/>
          <w:szCs w:val="24"/>
        </w:rPr>
      </w:pPr>
      <w:r>
        <w:rPr>
          <w:rFonts w:cs="Times New Roman"/>
          <w:sz w:val="24"/>
          <w:szCs w:val="24"/>
        </w:rPr>
        <w:t>a</w:t>
      </w:r>
      <w:r w:rsidRPr="00F62143">
        <w:rPr>
          <w:rFonts w:cs="Times New Roman"/>
          <w:sz w:val="24"/>
          <w:szCs w:val="24"/>
        </w:rPr>
        <w:t xml:space="preserve">) </w:t>
      </w:r>
      <w:r w:rsidRPr="00941DE7">
        <w:rPr>
          <w:rFonts w:cs="Times New Roman"/>
          <w:sz w:val="24"/>
          <w:szCs w:val="24"/>
        </w:rPr>
        <w:t>cotas de fundos de investimento classificados como ações, constituídos sob a forma de condomínio aberto cuja política de investimento assegure que o seu patrimônio líquido esteja investido em ativos que acompanham índices de renda variável, divulgados por bolsa de valores no Brasil, compostos por, no mínimo, cinquenta ações, correspondentes bônus ou recibos de subscrição e de certificados de depósitos de tais ações, conforme regulamentação estabelecida pela CVM (fundos de renda variável);</w:t>
      </w:r>
    </w:p>
    <w:p w:rsidR="00941DE7" w:rsidRDefault="00941DE7" w:rsidP="00941DE7">
      <w:pPr>
        <w:spacing w:before="120" w:after="120" w:line="240" w:lineRule="auto"/>
        <w:ind w:left="1134"/>
        <w:jc w:val="both"/>
        <w:rPr>
          <w:rFonts w:cs="Times New Roman"/>
          <w:sz w:val="24"/>
          <w:szCs w:val="24"/>
        </w:rPr>
      </w:pPr>
      <w:r>
        <w:rPr>
          <w:rFonts w:cs="Times New Roman"/>
          <w:sz w:val="24"/>
          <w:szCs w:val="24"/>
        </w:rPr>
        <w:t>............................................................................................................................................</w:t>
      </w:r>
    </w:p>
    <w:p w:rsidR="00941DE7" w:rsidRDefault="00941DE7" w:rsidP="00941DE7">
      <w:pPr>
        <w:spacing w:before="120" w:after="120" w:line="240" w:lineRule="auto"/>
        <w:ind w:left="1134"/>
        <w:jc w:val="both"/>
        <w:rPr>
          <w:rFonts w:cs="Times New Roman"/>
          <w:sz w:val="24"/>
          <w:szCs w:val="24"/>
        </w:rPr>
      </w:pPr>
      <w:r>
        <w:rPr>
          <w:rFonts w:cs="Times New Roman"/>
          <w:sz w:val="24"/>
          <w:szCs w:val="24"/>
        </w:rPr>
        <w:t>IV - .................................................................................................................................</w:t>
      </w:r>
    </w:p>
    <w:p w:rsidR="00651174" w:rsidRDefault="00651174" w:rsidP="00941DE7">
      <w:pPr>
        <w:spacing w:before="120" w:after="120" w:line="240" w:lineRule="auto"/>
        <w:ind w:left="1134"/>
        <w:jc w:val="both"/>
        <w:rPr>
          <w:rFonts w:cs="Times New Roman"/>
          <w:sz w:val="24"/>
          <w:szCs w:val="24"/>
        </w:rPr>
      </w:pPr>
      <w:r>
        <w:rPr>
          <w:rFonts w:cs="Times New Roman"/>
          <w:sz w:val="24"/>
          <w:szCs w:val="24"/>
        </w:rPr>
        <w:t>........................................................................................................................................</w:t>
      </w:r>
    </w:p>
    <w:p w:rsidR="00941DE7" w:rsidRPr="00941DE7" w:rsidRDefault="00941DE7" w:rsidP="00941DE7">
      <w:pPr>
        <w:spacing w:before="120" w:after="120" w:line="240" w:lineRule="auto"/>
        <w:ind w:left="1134"/>
        <w:jc w:val="both"/>
        <w:rPr>
          <w:rFonts w:cs="Times New Roman"/>
          <w:sz w:val="24"/>
          <w:szCs w:val="24"/>
        </w:rPr>
      </w:pPr>
      <w:r w:rsidRPr="00941DE7">
        <w:rPr>
          <w:rFonts w:cs="Times New Roman"/>
          <w:sz w:val="24"/>
          <w:szCs w:val="24"/>
        </w:rPr>
        <w:t>b) cotas de fundos de investimento imobiliário (FII) negociadas nos pregões de bolsa de valores;</w:t>
      </w:r>
    </w:p>
    <w:p w:rsidR="00941DE7" w:rsidRPr="00941DE7" w:rsidRDefault="00941DE7" w:rsidP="00941DE7">
      <w:pPr>
        <w:spacing w:before="120" w:after="120" w:line="240" w:lineRule="auto"/>
        <w:ind w:left="1134"/>
        <w:jc w:val="both"/>
        <w:rPr>
          <w:rFonts w:cs="Times New Roman"/>
          <w:sz w:val="24"/>
          <w:szCs w:val="24"/>
        </w:rPr>
      </w:pPr>
      <w:r w:rsidRPr="00941DE7">
        <w:rPr>
          <w:rFonts w:cs="Times New Roman"/>
          <w:sz w:val="24"/>
          <w:szCs w:val="24"/>
        </w:rPr>
        <w:t>c) cotas de fundos de investimento classificados como “Ações - Mercado de Acesso”, observada a regul</w:t>
      </w:r>
      <w:r w:rsidR="002B2F18">
        <w:rPr>
          <w:rFonts w:cs="Times New Roman"/>
          <w:sz w:val="24"/>
          <w:szCs w:val="24"/>
        </w:rPr>
        <w:t>amentação estabelecida pela CVM.</w:t>
      </w:r>
    </w:p>
    <w:p w:rsidR="006C21F1" w:rsidRDefault="006C21F1" w:rsidP="00941DE7">
      <w:pPr>
        <w:spacing w:before="120" w:after="120" w:line="240" w:lineRule="auto"/>
        <w:ind w:left="1134"/>
        <w:jc w:val="both"/>
        <w:rPr>
          <w:rFonts w:cs="Times New Roman"/>
          <w:sz w:val="24"/>
          <w:szCs w:val="24"/>
        </w:rPr>
      </w:pPr>
      <w:r>
        <w:rPr>
          <w:rFonts w:cs="Times New Roman"/>
          <w:sz w:val="24"/>
          <w:szCs w:val="24"/>
        </w:rPr>
        <w:t>...........................................................................................................................................</w:t>
      </w:r>
    </w:p>
    <w:p w:rsidR="00941DE7" w:rsidRPr="004D0A84" w:rsidRDefault="00941DE7" w:rsidP="00941DE7">
      <w:pPr>
        <w:spacing w:before="120" w:after="120" w:line="240" w:lineRule="auto"/>
        <w:ind w:left="1134"/>
        <w:jc w:val="both"/>
        <w:rPr>
          <w:rFonts w:cs="Times New Roman"/>
          <w:sz w:val="24"/>
          <w:szCs w:val="24"/>
        </w:rPr>
      </w:pPr>
      <w:r>
        <w:rPr>
          <w:rFonts w:cs="Times New Roman"/>
          <w:sz w:val="24"/>
          <w:szCs w:val="24"/>
        </w:rPr>
        <w:t xml:space="preserve">§ 3º  </w:t>
      </w:r>
      <w:r w:rsidRPr="004D0A84">
        <w:rPr>
          <w:rFonts w:cs="Times New Roman"/>
          <w:sz w:val="24"/>
          <w:szCs w:val="24"/>
        </w:rPr>
        <w:t>....................................................................................................................................</w:t>
      </w:r>
    </w:p>
    <w:p w:rsidR="00941DE7" w:rsidRPr="004D0A84" w:rsidRDefault="00941DE7" w:rsidP="00941DE7">
      <w:pPr>
        <w:spacing w:before="120" w:after="120" w:line="240" w:lineRule="auto"/>
        <w:ind w:left="1134"/>
        <w:jc w:val="both"/>
        <w:rPr>
          <w:rFonts w:cs="Times New Roman"/>
          <w:sz w:val="24"/>
          <w:szCs w:val="24"/>
        </w:rPr>
      </w:pPr>
      <w:r w:rsidRPr="004D0A84">
        <w:rPr>
          <w:rFonts w:cs="Times New Roman"/>
          <w:sz w:val="24"/>
          <w:szCs w:val="24"/>
        </w:rPr>
        <w:t>I - ser  emitidos  por instituição financeira bancária autorizada a funcionar pelo Banco Central do Brasil;</w:t>
      </w:r>
    </w:p>
    <w:p w:rsidR="00941DE7" w:rsidRPr="004D0A84" w:rsidRDefault="00941DE7" w:rsidP="00941DE7">
      <w:pPr>
        <w:spacing w:before="120" w:after="120" w:line="240" w:lineRule="auto"/>
        <w:ind w:left="1134"/>
        <w:jc w:val="both"/>
        <w:rPr>
          <w:rFonts w:cs="Times New Roman"/>
          <w:sz w:val="24"/>
          <w:szCs w:val="24"/>
        </w:rPr>
      </w:pPr>
      <w:r w:rsidRPr="004D0A84">
        <w:rPr>
          <w:rFonts w:cs="Times New Roman"/>
          <w:sz w:val="24"/>
          <w:szCs w:val="24"/>
        </w:rPr>
        <w:t>............................................................................................................................................</w:t>
      </w:r>
    </w:p>
    <w:p w:rsidR="00941DE7" w:rsidRDefault="00941DE7" w:rsidP="00941DE7">
      <w:pPr>
        <w:spacing w:before="120" w:after="120" w:line="240" w:lineRule="auto"/>
        <w:ind w:left="1134"/>
        <w:jc w:val="both"/>
        <w:rPr>
          <w:rFonts w:cs="Times New Roman"/>
          <w:sz w:val="24"/>
          <w:szCs w:val="24"/>
        </w:rPr>
      </w:pPr>
      <w:r w:rsidRPr="004D0A84">
        <w:rPr>
          <w:rFonts w:cs="Times New Roman"/>
          <w:sz w:val="24"/>
          <w:szCs w:val="24"/>
        </w:rPr>
        <w:t>§ 4º  Para fins do disposto no § 3º deste artigo, não são considerados</w:t>
      </w:r>
      <w:r w:rsidRPr="00941DE7">
        <w:rPr>
          <w:rFonts w:cs="Times New Roman"/>
          <w:sz w:val="24"/>
          <w:szCs w:val="24"/>
        </w:rPr>
        <w:t xml:space="preserve"> ativos financeiros as ações, os bônus ou recibos de subscrição, os certificados de depósito de ações, as cotas de fundos de ações e as cotas dos fundos de índice de ações negociados nos pregões de bolsa de valores.</w:t>
      </w:r>
    </w:p>
    <w:p w:rsidR="00941DE7" w:rsidRDefault="000E3D52" w:rsidP="00941DE7">
      <w:pPr>
        <w:spacing w:before="120" w:after="120" w:line="240" w:lineRule="auto"/>
        <w:ind w:left="1134"/>
        <w:jc w:val="both"/>
        <w:rPr>
          <w:rFonts w:cs="Times New Roman"/>
          <w:sz w:val="24"/>
          <w:szCs w:val="24"/>
        </w:rPr>
      </w:pPr>
      <w:r>
        <w:rPr>
          <w:rFonts w:cs="Times New Roman"/>
          <w:sz w:val="24"/>
          <w:szCs w:val="24"/>
        </w:rPr>
        <w:t>........</w:t>
      </w:r>
      <w:r w:rsidR="00941DE7">
        <w:rPr>
          <w:rFonts w:cs="Times New Roman"/>
          <w:sz w:val="24"/>
          <w:szCs w:val="24"/>
        </w:rPr>
        <w:t>....................................................................................................................................</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 9º  Os regimes próprios de previdência social que comprovarem a adoção de melhores práticas de gestão previdenciária à Secretaria de Previdência do Ministério da Fazenda, conforme 4 (quatro) níveis crescentes de aderência na forma por ela estabelecidos, terão os limites para aplicação dos recursos nos ativos de que tratam este artigo elevados da seguinte forma:</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lastRenderedPageBreak/>
        <w:t>I - quanto aos ativos de que tratam os incisos I e II do caput e o limite de que trata o § 1º deste artigo, um acréscimo de 5 (cinco) pontos percentuais a cada nível de governança comprovado;</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II - quanto aos ativos de que trata o inciso III do caput, um acréscimo de 5 (cinco) pontos percentuais para os que comprovarem o quarto nível de governança;</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III - quanto aos ativos de que tratam as alíneas “a” e “c” do inciso IV do caput, um acréscimo de 5 (cinco) pontos percentuais a cada nível de governança comprovado, iniciando-se no terceiro nível;</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IV - quanto ao ativo de que trata a alínea “b” do inciso IV do caput, um acréscimo de 5 (cinco) pontos percentuais a cada nível de governança comprovado, iniciando-se no segundo nível;</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 xml:space="preserve">V - quanto aos ativos de que tratam o inciso III e as alíneas “a” </w:t>
      </w:r>
      <w:r w:rsidR="00B64F84">
        <w:rPr>
          <w:rFonts w:cs="Times New Roman"/>
          <w:sz w:val="24"/>
          <w:szCs w:val="24"/>
        </w:rPr>
        <w:t xml:space="preserve">e </w:t>
      </w:r>
      <w:r w:rsidRPr="0000106D">
        <w:rPr>
          <w:rFonts w:cs="Times New Roman"/>
          <w:sz w:val="24"/>
          <w:szCs w:val="24"/>
        </w:rPr>
        <w:t>“c” do inciso IV do caput, os limites acrescidos ficarão sujeitos a um limite global de</w:t>
      </w:r>
      <w:r w:rsidR="00B64F84">
        <w:rPr>
          <w:rFonts w:cs="Times New Roman"/>
          <w:sz w:val="24"/>
          <w:szCs w:val="24"/>
        </w:rPr>
        <w:t xml:space="preserve"> 20% (vinte por cento) para o terceiro e quarto níveis de governança comprovados</w:t>
      </w:r>
      <w:r w:rsidRPr="0000106D">
        <w:rPr>
          <w:rFonts w:cs="Times New Roman"/>
          <w:sz w:val="24"/>
          <w:szCs w:val="24"/>
        </w:rPr>
        <w:t>.</w:t>
      </w:r>
    </w:p>
    <w:p w:rsidR="004A762F" w:rsidRDefault="0000106D" w:rsidP="000E3D52">
      <w:pPr>
        <w:spacing w:before="120" w:after="120" w:line="240" w:lineRule="auto"/>
        <w:ind w:left="1134"/>
        <w:jc w:val="both"/>
        <w:rPr>
          <w:rFonts w:cs="Times New Roman"/>
          <w:sz w:val="24"/>
          <w:szCs w:val="24"/>
        </w:rPr>
      </w:pPr>
      <w:r w:rsidRPr="0000106D">
        <w:rPr>
          <w:rFonts w:cs="Times New Roman"/>
          <w:sz w:val="24"/>
          <w:szCs w:val="24"/>
        </w:rPr>
        <w:t>§ 10.  Os regimes próprios de previdência social que não alcançarem os níveis de governança previstos no § 9º subordinam-se aos limites de que tratam os incisos do caput deste artigo.</w:t>
      </w:r>
      <w:r w:rsidR="006D7016">
        <w:rPr>
          <w:rFonts w:cs="Times New Roman"/>
          <w:sz w:val="24"/>
          <w:szCs w:val="24"/>
        </w:rPr>
        <w:t xml:space="preserve"> </w:t>
      </w:r>
      <w:r w:rsidR="006D7016" w:rsidRPr="004D0A84">
        <w:rPr>
          <w:rFonts w:cs="Times New Roman"/>
          <w:sz w:val="24"/>
          <w:szCs w:val="24"/>
        </w:rPr>
        <w:t>”</w:t>
      </w:r>
      <w:r w:rsidR="006D7016">
        <w:rPr>
          <w:rFonts w:cs="Times New Roman"/>
          <w:sz w:val="24"/>
          <w:szCs w:val="24"/>
        </w:rPr>
        <w:t>(NR)</w:t>
      </w:r>
    </w:p>
    <w:p w:rsidR="006D7016" w:rsidRDefault="006D7016" w:rsidP="000E3D52">
      <w:pPr>
        <w:spacing w:before="120" w:after="120" w:line="240" w:lineRule="auto"/>
        <w:ind w:left="1134"/>
        <w:jc w:val="both"/>
        <w:rPr>
          <w:rFonts w:cs="Times New Roman"/>
          <w:sz w:val="24"/>
          <w:szCs w:val="24"/>
        </w:rPr>
      </w:pPr>
    </w:p>
    <w:p w:rsidR="006E3FA2" w:rsidRDefault="004D0A84" w:rsidP="000E3D52">
      <w:pPr>
        <w:spacing w:before="120" w:after="120" w:line="240" w:lineRule="auto"/>
        <w:ind w:left="1134"/>
        <w:jc w:val="both"/>
        <w:rPr>
          <w:rFonts w:cs="Times New Roman"/>
          <w:sz w:val="24"/>
          <w:szCs w:val="24"/>
        </w:rPr>
      </w:pPr>
      <w:r>
        <w:rPr>
          <w:rFonts w:cs="Times New Roman"/>
          <w:sz w:val="24"/>
          <w:szCs w:val="24"/>
        </w:rPr>
        <w:t xml:space="preserve"> </w:t>
      </w:r>
      <w:r w:rsidR="006E3FA2">
        <w:rPr>
          <w:rFonts w:cs="Times New Roman"/>
          <w:sz w:val="24"/>
          <w:szCs w:val="24"/>
        </w:rPr>
        <w:t>“</w:t>
      </w:r>
      <w:r w:rsidR="00DA32B4">
        <w:rPr>
          <w:rFonts w:cs="Times New Roman"/>
          <w:sz w:val="24"/>
          <w:szCs w:val="24"/>
        </w:rPr>
        <w:t xml:space="preserve">Art. 11. </w:t>
      </w:r>
      <w:r w:rsidR="006E3FA2" w:rsidRPr="006E3FA2">
        <w:rPr>
          <w:rFonts w:cs="Times New Roman"/>
          <w:sz w:val="24"/>
          <w:szCs w:val="24"/>
        </w:rPr>
        <w:t>As aplicações dos recursos referidas nos incisos V e VI do ar</w:t>
      </w:r>
      <w:r w:rsidR="00DA32B4">
        <w:rPr>
          <w:rFonts w:cs="Times New Roman"/>
          <w:sz w:val="24"/>
          <w:szCs w:val="24"/>
        </w:rPr>
        <w:t xml:space="preserve">t. 7º </w:t>
      </w:r>
      <w:r w:rsidR="006E3FA2" w:rsidRPr="004D0A84">
        <w:rPr>
          <w:rFonts w:cs="Times New Roman"/>
          <w:sz w:val="24"/>
          <w:szCs w:val="24"/>
        </w:rPr>
        <w:t>ficam igualmente condicionadas a que a instituição financeira não tenha o respectivo controle societário detido, direta ou indiretamente, por Estado</w:t>
      </w:r>
      <w:r w:rsidR="00AB53A1" w:rsidRPr="004D0A84">
        <w:rPr>
          <w:rFonts w:cs="Times New Roman"/>
          <w:sz w:val="24"/>
          <w:szCs w:val="24"/>
        </w:rPr>
        <w:t xml:space="preserve"> ou Distrito Federal</w:t>
      </w:r>
      <w:r w:rsidR="006E3FA2" w:rsidRPr="004D0A84">
        <w:rPr>
          <w:rFonts w:cs="Times New Roman"/>
          <w:sz w:val="24"/>
          <w:szCs w:val="24"/>
        </w:rPr>
        <w:t>.”</w:t>
      </w:r>
      <w:r w:rsidR="006E3FA2">
        <w:rPr>
          <w:rFonts w:cs="Times New Roman"/>
          <w:sz w:val="24"/>
          <w:szCs w:val="24"/>
        </w:rPr>
        <w:t xml:space="preserve"> (NR)</w:t>
      </w:r>
    </w:p>
    <w:p w:rsidR="009A51C7" w:rsidRDefault="009A51C7" w:rsidP="000E3D52">
      <w:pPr>
        <w:spacing w:before="120" w:after="120" w:line="240" w:lineRule="auto"/>
        <w:ind w:left="1134"/>
        <w:jc w:val="both"/>
        <w:rPr>
          <w:rFonts w:cs="Times New Roman"/>
          <w:sz w:val="24"/>
          <w:szCs w:val="24"/>
        </w:rPr>
      </w:pPr>
    </w:p>
    <w:p w:rsidR="009A51C7" w:rsidRDefault="009A51C7" w:rsidP="000E3D52">
      <w:pPr>
        <w:spacing w:before="120" w:after="120" w:line="240" w:lineRule="auto"/>
        <w:ind w:left="1134"/>
        <w:jc w:val="both"/>
        <w:rPr>
          <w:rFonts w:cs="Times New Roman"/>
          <w:sz w:val="24"/>
          <w:szCs w:val="24"/>
        </w:rPr>
      </w:pPr>
      <w:r>
        <w:rPr>
          <w:rFonts w:cs="Times New Roman"/>
          <w:sz w:val="24"/>
          <w:szCs w:val="24"/>
        </w:rPr>
        <w:t>“</w:t>
      </w:r>
      <w:r w:rsidRPr="009A51C7">
        <w:rPr>
          <w:rFonts w:cs="Times New Roman"/>
          <w:sz w:val="24"/>
          <w:szCs w:val="24"/>
        </w:rPr>
        <w:t>Art. 13.</w:t>
      </w:r>
      <w:r w:rsidR="00651174">
        <w:rPr>
          <w:rFonts w:cs="Times New Roman"/>
          <w:sz w:val="24"/>
          <w:szCs w:val="24"/>
        </w:rPr>
        <w:t xml:space="preserve"> </w:t>
      </w:r>
      <w:r w:rsidRPr="009A51C7">
        <w:rPr>
          <w:rFonts w:cs="Times New Roman"/>
          <w:sz w:val="24"/>
          <w:szCs w:val="24"/>
        </w:rPr>
        <w:t xml:space="preserve"> As aplicações em cotas de um mesmo fundo de investimento, fundo de investimento em cotas de fundos de investimento ou fundo de índice não podem, direta ou indiretamente, exceder a 20% (vinte por cento) das aplicações dos recursos do regime próprio de previdência social.</w:t>
      </w:r>
      <w:r>
        <w:rPr>
          <w:rFonts w:cs="Times New Roman"/>
          <w:sz w:val="24"/>
          <w:szCs w:val="24"/>
        </w:rPr>
        <w:t>” (NR)</w:t>
      </w:r>
    </w:p>
    <w:p w:rsidR="009A51C7" w:rsidRDefault="009A51C7" w:rsidP="000E3D52">
      <w:pPr>
        <w:spacing w:before="120" w:after="120" w:line="240" w:lineRule="auto"/>
        <w:ind w:left="1134"/>
        <w:jc w:val="both"/>
        <w:rPr>
          <w:rFonts w:cs="Times New Roman"/>
          <w:sz w:val="24"/>
          <w:szCs w:val="24"/>
        </w:rPr>
      </w:pPr>
    </w:p>
    <w:p w:rsidR="009A51C7" w:rsidRPr="007C08A6" w:rsidRDefault="009A51C7" w:rsidP="009A51C7">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 xml:space="preserve">Art. </w:t>
      </w:r>
      <w:r>
        <w:rPr>
          <w:rFonts w:cs="Times New Roman"/>
          <w:sz w:val="24"/>
          <w:szCs w:val="24"/>
        </w:rPr>
        <w:t>15</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9A51C7" w:rsidRPr="007C08A6" w:rsidRDefault="009A51C7" w:rsidP="009A51C7">
      <w:pPr>
        <w:spacing w:before="120" w:after="120" w:line="240" w:lineRule="auto"/>
        <w:ind w:left="1134"/>
        <w:jc w:val="both"/>
        <w:rPr>
          <w:rFonts w:cs="Times New Roman"/>
          <w:sz w:val="24"/>
          <w:szCs w:val="24"/>
        </w:rPr>
      </w:pPr>
      <w:r w:rsidRPr="007C08A6">
        <w:rPr>
          <w:rFonts w:cs="Times New Roman"/>
          <w:sz w:val="24"/>
          <w:szCs w:val="24"/>
        </w:rPr>
        <w:t>......</w:t>
      </w:r>
      <w:r>
        <w:rPr>
          <w:rFonts w:cs="Times New Roman"/>
          <w:sz w:val="24"/>
          <w:szCs w:val="24"/>
        </w:rPr>
        <w:t>.....</w:t>
      </w:r>
      <w:r w:rsidRPr="007C08A6">
        <w:rPr>
          <w:rFonts w:cs="Times New Roman"/>
          <w:sz w:val="24"/>
          <w:szCs w:val="24"/>
        </w:rPr>
        <w:t>..................................................................................................</w:t>
      </w:r>
      <w:r w:rsidR="008264BF">
        <w:rPr>
          <w:rFonts w:cs="Times New Roman"/>
          <w:sz w:val="24"/>
          <w:szCs w:val="24"/>
        </w:rPr>
        <w:t>.......</w:t>
      </w:r>
      <w:r w:rsidRPr="007C08A6">
        <w:rPr>
          <w:rFonts w:cs="Times New Roman"/>
          <w:sz w:val="24"/>
          <w:szCs w:val="24"/>
        </w:rPr>
        <w:t>...</w:t>
      </w:r>
      <w:r>
        <w:rPr>
          <w:rFonts w:cs="Times New Roman"/>
          <w:sz w:val="24"/>
          <w:szCs w:val="24"/>
        </w:rPr>
        <w:t>.....................</w:t>
      </w:r>
    </w:p>
    <w:p w:rsidR="00063724" w:rsidRPr="00DA32B4" w:rsidRDefault="00063724" w:rsidP="00063724">
      <w:pPr>
        <w:spacing w:before="120" w:after="120" w:line="240" w:lineRule="auto"/>
        <w:ind w:left="1134"/>
        <w:jc w:val="both"/>
        <w:rPr>
          <w:rFonts w:cs="Times New Roman"/>
          <w:sz w:val="24"/>
          <w:szCs w:val="24"/>
        </w:rPr>
      </w:pPr>
      <w:r w:rsidRPr="00DA32B4">
        <w:rPr>
          <w:rFonts w:cs="Times New Roman"/>
          <w:sz w:val="24"/>
          <w:szCs w:val="24"/>
        </w:rPr>
        <w:t>§ 2º Os regimes próprios de previdência social somente poderão aplicar recursos em cotas de fundos d</w:t>
      </w:r>
      <w:r w:rsidR="00376C14">
        <w:rPr>
          <w:rFonts w:cs="Times New Roman"/>
          <w:sz w:val="24"/>
          <w:szCs w:val="24"/>
        </w:rPr>
        <w:t xml:space="preserve">e investimento quando atendidas, cumulativamente, </w:t>
      </w:r>
      <w:r w:rsidRPr="00DA32B4">
        <w:rPr>
          <w:rFonts w:cs="Times New Roman"/>
          <w:sz w:val="24"/>
          <w:szCs w:val="24"/>
        </w:rPr>
        <w:t>as seguintes condições:</w:t>
      </w:r>
    </w:p>
    <w:p w:rsidR="00BC45B7" w:rsidRPr="00376C14" w:rsidRDefault="00063724" w:rsidP="00376C14">
      <w:pPr>
        <w:spacing w:before="120" w:after="120" w:line="240" w:lineRule="auto"/>
        <w:ind w:left="1134"/>
        <w:jc w:val="both"/>
        <w:rPr>
          <w:rFonts w:cs="Times New Roman"/>
          <w:sz w:val="24"/>
          <w:szCs w:val="24"/>
        </w:rPr>
      </w:pPr>
      <w:r w:rsidRPr="00DA32B4">
        <w:rPr>
          <w:rFonts w:cs="Times New Roman"/>
          <w:sz w:val="24"/>
          <w:szCs w:val="24"/>
        </w:rPr>
        <w:t xml:space="preserve">I - </w:t>
      </w:r>
      <w:r w:rsidRPr="000D17A3">
        <w:rPr>
          <w:rFonts w:cs="Times New Roman"/>
          <w:sz w:val="24"/>
          <w:szCs w:val="24"/>
        </w:rPr>
        <w:t xml:space="preserve">o administrador ou </w:t>
      </w:r>
      <w:r w:rsidR="00B64F84">
        <w:rPr>
          <w:rFonts w:cs="Times New Roman"/>
          <w:sz w:val="24"/>
          <w:szCs w:val="24"/>
        </w:rPr>
        <w:t xml:space="preserve">o </w:t>
      </w:r>
      <w:r w:rsidRPr="000D17A3">
        <w:rPr>
          <w:rFonts w:cs="Times New Roman"/>
          <w:sz w:val="24"/>
          <w:szCs w:val="24"/>
        </w:rPr>
        <w:t>gestor do fundo de investimento seja</w:t>
      </w:r>
      <w:r w:rsidR="00376C14">
        <w:rPr>
          <w:rFonts w:cs="Times New Roman"/>
          <w:sz w:val="24"/>
          <w:szCs w:val="24"/>
        </w:rPr>
        <w:t xml:space="preserve"> instituição autorizada a funcionar pelo Banco Central do Brasil obrigada a instituir comitê de auditoria e comitê de riscos, nos termos da regulamentação</w:t>
      </w:r>
      <w:r w:rsidR="00716D4D">
        <w:rPr>
          <w:rFonts w:cs="Times New Roman"/>
          <w:sz w:val="24"/>
          <w:szCs w:val="24"/>
        </w:rPr>
        <w:t xml:space="preserve"> do Conselho Monetário Nacional;</w:t>
      </w:r>
    </w:p>
    <w:p w:rsidR="00A96D04" w:rsidRDefault="00A96D04" w:rsidP="00A96D04">
      <w:pPr>
        <w:spacing w:before="120" w:after="120" w:line="240" w:lineRule="auto"/>
        <w:ind w:left="1134"/>
        <w:jc w:val="both"/>
        <w:rPr>
          <w:rFonts w:cs="Times New Roman"/>
          <w:sz w:val="24"/>
          <w:szCs w:val="24"/>
        </w:rPr>
      </w:pPr>
      <w:r>
        <w:rPr>
          <w:rFonts w:cs="Times New Roman"/>
          <w:sz w:val="24"/>
          <w:szCs w:val="24"/>
        </w:rPr>
        <w:t xml:space="preserve">II - </w:t>
      </w:r>
      <w:r w:rsidRPr="00A96D04">
        <w:rPr>
          <w:rFonts w:cs="Times New Roman"/>
          <w:sz w:val="24"/>
          <w:szCs w:val="24"/>
        </w:rPr>
        <w:t xml:space="preserve">o </w:t>
      </w:r>
      <w:r w:rsidR="008D46B6">
        <w:rPr>
          <w:rFonts w:cs="Times New Roman"/>
          <w:sz w:val="24"/>
          <w:szCs w:val="24"/>
        </w:rPr>
        <w:t>administrador</w:t>
      </w:r>
      <w:r w:rsidRPr="00A96D04">
        <w:rPr>
          <w:rFonts w:cs="Times New Roman"/>
          <w:sz w:val="24"/>
          <w:szCs w:val="24"/>
        </w:rPr>
        <w:t xml:space="preserve"> do fundo de investimento detenha, no máximo, 50% (cinquenta por cento) dos recursos sob sua </w:t>
      </w:r>
      <w:r w:rsidR="008D46B6">
        <w:rPr>
          <w:rFonts w:cs="Times New Roman"/>
          <w:sz w:val="24"/>
          <w:szCs w:val="24"/>
        </w:rPr>
        <w:t>administração</w:t>
      </w:r>
      <w:r w:rsidRPr="00A96D04">
        <w:rPr>
          <w:rFonts w:cs="Times New Roman"/>
          <w:sz w:val="24"/>
          <w:szCs w:val="24"/>
        </w:rPr>
        <w:t xml:space="preserve"> oriundos de regimes próprios de previdência social;</w:t>
      </w:r>
    </w:p>
    <w:p w:rsidR="00DE7A3E" w:rsidRDefault="00A96D04" w:rsidP="009A51C7">
      <w:pPr>
        <w:spacing w:before="120" w:after="120" w:line="240" w:lineRule="auto"/>
        <w:ind w:left="1134"/>
        <w:jc w:val="both"/>
        <w:rPr>
          <w:rFonts w:cs="Times New Roman"/>
          <w:sz w:val="24"/>
          <w:szCs w:val="24"/>
        </w:rPr>
      </w:pPr>
      <w:r>
        <w:rPr>
          <w:rFonts w:cs="Times New Roman"/>
          <w:sz w:val="24"/>
          <w:szCs w:val="24"/>
        </w:rPr>
        <w:lastRenderedPageBreak/>
        <w:t>I</w:t>
      </w:r>
      <w:r w:rsidR="00063724" w:rsidRPr="00DA32B4">
        <w:rPr>
          <w:rFonts w:cs="Times New Roman"/>
          <w:sz w:val="24"/>
          <w:szCs w:val="24"/>
        </w:rPr>
        <w:t>II - o gestor e o administrador do fundo de investimento tenham sido objeto de prévio credenciamento</w:t>
      </w:r>
      <w:r w:rsidR="00A67D8E" w:rsidRPr="00DA32B4">
        <w:rPr>
          <w:rFonts w:cs="Times New Roman"/>
          <w:sz w:val="24"/>
          <w:szCs w:val="24"/>
        </w:rPr>
        <w:t>,</w:t>
      </w:r>
      <w:r w:rsidR="00063724" w:rsidRPr="00DA32B4">
        <w:rPr>
          <w:rFonts w:cs="Times New Roman"/>
          <w:sz w:val="24"/>
          <w:szCs w:val="24"/>
        </w:rPr>
        <w:t xml:space="preserve"> </w:t>
      </w:r>
      <w:r w:rsidR="00A67D8E" w:rsidRPr="00DA32B4">
        <w:rPr>
          <w:rFonts w:cs="Times New Roman"/>
          <w:sz w:val="24"/>
          <w:szCs w:val="24"/>
        </w:rPr>
        <w:t xml:space="preserve">de que trata o inciso VI do § 1º do art. 1º, </w:t>
      </w:r>
      <w:r w:rsidR="00063724" w:rsidRPr="00DA32B4">
        <w:rPr>
          <w:rFonts w:cs="Times New Roman"/>
          <w:sz w:val="24"/>
          <w:szCs w:val="24"/>
        </w:rPr>
        <w:t>e sejam considerados pelos responsáveis pela gestão de recursos do regime próprio de previdência social</w:t>
      </w:r>
      <w:r w:rsidR="00A94370">
        <w:rPr>
          <w:rFonts w:cs="Times New Roman"/>
          <w:sz w:val="24"/>
          <w:szCs w:val="24"/>
        </w:rPr>
        <w:t xml:space="preserve"> </w:t>
      </w:r>
      <w:r w:rsidR="00063724" w:rsidRPr="00DA32B4">
        <w:rPr>
          <w:rFonts w:cs="Times New Roman"/>
          <w:sz w:val="24"/>
          <w:szCs w:val="24"/>
        </w:rPr>
        <w:t>como</w:t>
      </w:r>
      <w:r w:rsidR="00B9760F">
        <w:rPr>
          <w:rFonts w:cs="Times New Roman"/>
          <w:sz w:val="24"/>
          <w:szCs w:val="24"/>
        </w:rPr>
        <w:t xml:space="preserve"> de boa qualidade de gestão e de ambiente de controle de investimento.</w:t>
      </w:r>
      <w:r w:rsidR="00595917">
        <w:rPr>
          <w:rFonts w:cs="Times New Roman"/>
          <w:sz w:val="24"/>
          <w:szCs w:val="24"/>
        </w:rPr>
        <w:t xml:space="preserve"> </w:t>
      </w:r>
    </w:p>
    <w:p w:rsidR="009A51C7" w:rsidRDefault="009A51C7" w:rsidP="009A51C7">
      <w:pPr>
        <w:spacing w:before="120" w:after="120" w:line="240" w:lineRule="auto"/>
        <w:ind w:left="1134"/>
        <w:jc w:val="both"/>
        <w:rPr>
          <w:rFonts w:cs="Times New Roman"/>
          <w:sz w:val="24"/>
          <w:szCs w:val="24"/>
        </w:rPr>
      </w:pPr>
      <w:r>
        <w:rPr>
          <w:rFonts w:cs="Times New Roman"/>
          <w:sz w:val="24"/>
          <w:szCs w:val="24"/>
        </w:rPr>
        <w:t>............................................................................................................................................</w:t>
      </w:r>
    </w:p>
    <w:p w:rsidR="008264BF" w:rsidRPr="008264BF" w:rsidRDefault="0048020A" w:rsidP="008264BF">
      <w:pPr>
        <w:spacing w:before="120" w:after="120" w:line="240" w:lineRule="auto"/>
        <w:ind w:left="1134"/>
        <w:jc w:val="both"/>
        <w:rPr>
          <w:rFonts w:cs="Times New Roman"/>
          <w:sz w:val="24"/>
          <w:szCs w:val="24"/>
        </w:rPr>
      </w:pPr>
      <w:r>
        <w:rPr>
          <w:rFonts w:cs="Times New Roman"/>
          <w:sz w:val="24"/>
          <w:szCs w:val="24"/>
        </w:rPr>
        <w:t xml:space="preserve">§ 4º </w:t>
      </w:r>
      <w:r w:rsidR="008264BF" w:rsidRPr="008264BF">
        <w:rPr>
          <w:rFonts w:cs="Times New Roman"/>
          <w:sz w:val="24"/>
          <w:szCs w:val="24"/>
        </w:rPr>
        <w:t xml:space="preserve">A gestão dos recursos dos regimes próprios de previdência social por entidade autorizada e credenciada deverá observar os </w:t>
      </w:r>
      <w:r w:rsidR="00063724">
        <w:rPr>
          <w:rFonts w:cs="Times New Roman"/>
          <w:sz w:val="24"/>
          <w:szCs w:val="24"/>
        </w:rPr>
        <w:t>critério</w:t>
      </w:r>
      <w:r w:rsidR="00063724" w:rsidRPr="008264BF">
        <w:rPr>
          <w:rFonts w:cs="Times New Roman"/>
          <w:sz w:val="24"/>
          <w:szCs w:val="24"/>
        </w:rPr>
        <w:t xml:space="preserve">s </w:t>
      </w:r>
      <w:r w:rsidR="008264BF" w:rsidRPr="008264BF">
        <w:rPr>
          <w:rFonts w:cs="Times New Roman"/>
          <w:sz w:val="24"/>
          <w:szCs w:val="24"/>
        </w:rPr>
        <w:t xml:space="preserve">estabelecidos no § 2º deste artigo e no art. 18, e aqueles definidos na forma do inciso IV do § 1º </w:t>
      </w:r>
      <w:r w:rsidR="005638B6">
        <w:rPr>
          <w:rFonts w:cs="Times New Roman"/>
          <w:sz w:val="24"/>
          <w:szCs w:val="24"/>
        </w:rPr>
        <w:t xml:space="preserve">do art. 1º </w:t>
      </w:r>
      <w:r w:rsidR="008264BF" w:rsidRPr="008264BF">
        <w:rPr>
          <w:rFonts w:cs="Times New Roman"/>
          <w:sz w:val="24"/>
          <w:szCs w:val="24"/>
        </w:rPr>
        <w:t>desta Resolução.</w:t>
      </w:r>
    </w:p>
    <w:p w:rsidR="008264BF" w:rsidRPr="008264BF" w:rsidRDefault="008264BF" w:rsidP="008264BF">
      <w:pPr>
        <w:spacing w:before="120" w:after="120" w:line="240" w:lineRule="auto"/>
        <w:ind w:left="1134"/>
        <w:jc w:val="both"/>
        <w:rPr>
          <w:rFonts w:cs="Times New Roman"/>
          <w:sz w:val="24"/>
          <w:szCs w:val="24"/>
        </w:rPr>
      </w:pPr>
      <w:r>
        <w:rPr>
          <w:rFonts w:cs="Times New Roman"/>
          <w:sz w:val="24"/>
          <w:szCs w:val="24"/>
        </w:rPr>
        <w:t xml:space="preserve">§ 5º  </w:t>
      </w:r>
      <w:r w:rsidRPr="008264BF">
        <w:rPr>
          <w:rFonts w:cs="Times New Roman"/>
          <w:sz w:val="24"/>
          <w:szCs w:val="24"/>
        </w:rPr>
        <w:t xml:space="preserve">A entidade autorizada e credenciada de que trata o § 4º deverá comprovar:  </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I - a adoção de política de gerenciamento de riscos:</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a) consistente e passível de verificação;</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b) que fundamente efetivamente o processo decisório de investimentos;</w:t>
      </w:r>
    </w:p>
    <w:p w:rsid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c) compatível com a política de investimentos do regime próprio de previdência social</w:t>
      </w:r>
      <w:r w:rsidR="00DA32B4">
        <w:rPr>
          <w:rFonts w:cs="Times New Roman"/>
          <w:sz w:val="24"/>
          <w:szCs w:val="24"/>
        </w:rPr>
        <w:t>;</w:t>
      </w:r>
    </w:p>
    <w:p w:rsidR="005E5F00" w:rsidRPr="005E5F00" w:rsidRDefault="005E5F00" w:rsidP="005E5F00">
      <w:pPr>
        <w:ind w:left="1134"/>
        <w:jc w:val="both"/>
        <w:rPr>
          <w:rFonts w:cs="Times New Roman"/>
          <w:sz w:val="24"/>
          <w:szCs w:val="24"/>
        </w:rPr>
      </w:pPr>
      <w:r w:rsidRPr="004D0A84">
        <w:rPr>
          <w:rFonts w:cs="Times New Roman"/>
          <w:sz w:val="24"/>
          <w:szCs w:val="24"/>
        </w:rPr>
        <w:t xml:space="preserve">d) </w:t>
      </w:r>
      <w:r w:rsidR="00E812BD">
        <w:rPr>
          <w:rFonts w:cs="Times New Roman"/>
          <w:sz w:val="24"/>
          <w:szCs w:val="24"/>
        </w:rPr>
        <w:t xml:space="preserve">que considere, </w:t>
      </w:r>
      <w:r w:rsidRPr="004D0A84">
        <w:rPr>
          <w:rFonts w:cs="Times New Roman"/>
          <w:sz w:val="24"/>
          <w:szCs w:val="24"/>
        </w:rPr>
        <w:t>sempre que possível, os aspectos relacionados à sustentabilidade econômica, ambiental, social e de governança dos investimentos.</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II -  o cumprimento dos limites e requisitos previstos nesta Resolução e os parâmetros estabelecidos nas normas gerais de organização e funcionamento desses regimes;</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III - que possui recursos humanos, computacionais e estrutura adequados e suficientes para prestação dos serviços contratados.</w:t>
      </w:r>
    </w:p>
    <w:p w:rsidR="00A96D04" w:rsidRDefault="008264BF" w:rsidP="000D17A3">
      <w:pPr>
        <w:spacing w:before="120" w:after="120" w:line="240" w:lineRule="auto"/>
        <w:ind w:left="1134"/>
        <w:jc w:val="both"/>
        <w:rPr>
          <w:rFonts w:cs="Times New Roman"/>
          <w:sz w:val="24"/>
          <w:szCs w:val="24"/>
        </w:rPr>
      </w:pPr>
      <w:r w:rsidRPr="008264BF">
        <w:rPr>
          <w:rFonts w:cs="Times New Roman"/>
          <w:sz w:val="24"/>
          <w:szCs w:val="24"/>
        </w:rPr>
        <w:t xml:space="preserve">§ 6º Aplica-se o previsto no </w:t>
      </w:r>
      <w:r w:rsidR="00E0386D">
        <w:rPr>
          <w:rFonts w:cs="Times New Roman"/>
          <w:sz w:val="24"/>
          <w:szCs w:val="24"/>
        </w:rPr>
        <w:t xml:space="preserve">inciso III do </w:t>
      </w:r>
      <w:r w:rsidRPr="008264BF">
        <w:rPr>
          <w:rFonts w:cs="Times New Roman"/>
          <w:sz w:val="24"/>
          <w:szCs w:val="24"/>
        </w:rPr>
        <w:t xml:space="preserve">§ 2º deste artigo às instituições </w:t>
      </w:r>
      <w:r w:rsidR="00094428" w:rsidRPr="001A3D93">
        <w:rPr>
          <w:rFonts w:cs="Times New Roman"/>
          <w:sz w:val="24"/>
          <w:szCs w:val="24"/>
        </w:rPr>
        <w:t>financeiras</w:t>
      </w:r>
      <w:r w:rsidRPr="008264BF">
        <w:rPr>
          <w:rFonts w:cs="Times New Roman"/>
          <w:sz w:val="24"/>
          <w:szCs w:val="24"/>
        </w:rPr>
        <w:t xml:space="preserve"> com obrigação ou coobrigação relacionadas aos ativos de que tratam a alínea “b” do inciso V do art. 7º.</w:t>
      </w:r>
    </w:p>
    <w:p w:rsidR="00134A1D" w:rsidRDefault="00DE7A3E" w:rsidP="0098795B">
      <w:pPr>
        <w:spacing w:before="120" w:after="120" w:line="240" w:lineRule="auto"/>
        <w:ind w:left="1134"/>
        <w:jc w:val="both"/>
        <w:rPr>
          <w:rFonts w:cs="Times New Roman"/>
          <w:sz w:val="24"/>
          <w:szCs w:val="24"/>
        </w:rPr>
      </w:pPr>
      <w:r>
        <w:rPr>
          <w:rFonts w:cs="Times New Roman"/>
          <w:sz w:val="24"/>
          <w:szCs w:val="24"/>
        </w:rPr>
        <w:t xml:space="preserve">§ 7º </w:t>
      </w:r>
      <w:r w:rsidR="00D34590">
        <w:rPr>
          <w:rFonts w:cs="Times New Roman"/>
          <w:sz w:val="24"/>
          <w:szCs w:val="24"/>
        </w:rPr>
        <w:t>O</w:t>
      </w:r>
      <w:r w:rsidR="00A96D04" w:rsidRPr="00A96D04">
        <w:rPr>
          <w:rFonts w:cs="Times New Roman"/>
          <w:sz w:val="24"/>
          <w:szCs w:val="24"/>
        </w:rPr>
        <w:t xml:space="preserve">s requisitos previstos no inciso I do § 2º </w:t>
      </w:r>
      <w:r w:rsidR="0098795B">
        <w:rPr>
          <w:rFonts w:cs="Times New Roman"/>
          <w:sz w:val="24"/>
          <w:szCs w:val="24"/>
        </w:rPr>
        <w:t xml:space="preserve">somente se aplicam aos gestores ou administradores que </w:t>
      </w:r>
      <w:r w:rsidR="0098795B" w:rsidRPr="00A96D04">
        <w:rPr>
          <w:rFonts w:cs="Times New Roman"/>
          <w:sz w:val="24"/>
          <w:szCs w:val="24"/>
        </w:rPr>
        <w:t>recebe</w:t>
      </w:r>
      <w:r w:rsidR="0098795B">
        <w:rPr>
          <w:rFonts w:cs="Times New Roman"/>
          <w:sz w:val="24"/>
          <w:szCs w:val="24"/>
        </w:rPr>
        <w:t>ram</w:t>
      </w:r>
      <w:r w:rsidR="0098795B" w:rsidRPr="00A96D04">
        <w:rPr>
          <w:rFonts w:cs="Times New Roman"/>
          <w:sz w:val="24"/>
          <w:szCs w:val="24"/>
        </w:rPr>
        <w:t xml:space="preserve"> </w:t>
      </w:r>
      <w:r w:rsidR="00A96D04" w:rsidRPr="00A96D04">
        <w:rPr>
          <w:rFonts w:cs="Times New Roman"/>
          <w:sz w:val="24"/>
          <w:szCs w:val="24"/>
        </w:rPr>
        <w:t>diretamente as aplicações do regime próprio de previdência social</w:t>
      </w:r>
      <w:r w:rsidR="0098795B">
        <w:rPr>
          <w:rFonts w:cs="Times New Roman"/>
          <w:sz w:val="24"/>
          <w:szCs w:val="24"/>
        </w:rPr>
        <w:t>.</w:t>
      </w:r>
    </w:p>
    <w:p w:rsidR="00134A1D" w:rsidRDefault="00716D4D" w:rsidP="0098795B">
      <w:pPr>
        <w:spacing w:before="120" w:after="120" w:line="240" w:lineRule="auto"/>
        <w:ind w:left="1134"/>
        <w:jc w:val="both"/>
        <w:rPr>
          <w:rFonts w:cs="Times New Roman"/>
          <w:sz w:val="24"/>
          <w:szCs w:val="24"/>
        </w:rPr>
      </w:pPr>
      <w:r>
        <w:rPr>
          <w:rFonts w:cs="Times New Roman"/>
          <w:sz w:val="24"/>
          <w:szCs w:val="24"/>
        </w:rPr>
        <w:t xml:space="preserve">§ 8º </w:t>
      </w:r>
      <w:r w:rsidRPr="00716D4D">
        <w:rPr>
          <w:rFonts w:cs="Times New Roman"/>
          <w:sz w:val="24"/>
          <w:szCs w:val="24"/>
        </w:rPr>
        <w:t>Para fins de cumprimento do disposto no inciso I do § 2º deste artigo, admite-se</w:t>
      </w:r>
      <w:r w:rsidR="00182184">
        <w:rPr>
          <w:rFonts w:cs="Times New Roman"/>
          <w:sz w:val="24"/>
          <w:szCs w:val="24"/>
        </w:rPr>
        <w:t xml:space="preserve"> </w:t>
      </w:r>
      <w:r w:rsidRPr="00716D4D">
        <w:rPr>
          <w:rFonts w:cs="Times New Roman"/>
          <w:sz w:val="24"/>
          <w:szCs w:val="24"/>
        </w:rPr>
        <w:t xml:space="preserve">que </w:t>
      </w:r>
      <w:r w:rsidR="00134A1D">
        <w:rPr>
          <w:rFonts w:cs="Times New Roman"/>
          <w:sz w:val="24"/>
          <w:szCs w:val="24"/>
        </w:rPr>
        <w:t>o gestor ou administrador</w:t>
      </w:r>
      <w:r w:rsidRPr="00716D4D">
        <w:rPr>
          <w:rFonts w:cs="Times New Roman"/>
          <w:sz w:val="24"/>
          <w:szCs w:val="24"/>
        </w:rPr>
        <w:t xml:space="preserve"> esteja no escopo de atuação de comitê de auditoria e de comitê de riscos constituídos</w:t>
      </w:r>
      <w:r w:rsidR="001A3D93">
        <w:rPr>
          <w:rFonts w:cs="Times New Roman"/>
          <w:sz w:val="24"/>
          <w:szCs w:val="24"/>
        </w:rPr>
        <w:t xml:space="preserve"> </w:t>
      </w:r>
      <w:r w:rsidR="00B64F84">
        <w:rPr>
          <w:rFonts w:cs="Times New Roman"/>
          <w:sz w:val="24"/>
          <w:szCs w:val="24"/>
        </w:rPr>
        <w:t>obrigatoriamente</w:t>
      </w:r>
      <w:r w:rsidRPr="00716D4D">
        <w:rPr>
          <w:rFonts w:cs="Times New Roman"/>
          <w:sz w:val="24"/>
          <w:szCs w:val="24"/>
        </w:rPr>
        <w:t>, nos termos da regulamentação do Conselho Monetário Nacional,</w:t>
      </w:r>
      <w:r w:rsidR="00134A1D">
        <w:rPr>
          <w:rFonts w:cs="Times New Roman"/>
          <w:sz w:val="24"/>
          <w:szCs w:val="24"/>
        </w:rPr>
        <w:t xml:space="preserve"> </w:t>
      </w:r>
      <w:r w:rsidR="00F757E5">
        <w:rPr>
          <w:rFonts w:cs="Times New Roman"/>
          <w:sz w:val="24"/>
          <w:szCs w:val="24"/>
        </w:rPr>
        <w:t>por</w:t>
      </w:r>
      <w:r w:rsidR="00134A1D" w:rsidRPr="00716D4D">
        <w:rPr>
          <w:rFonts w:cs="Times New Roman"/>
          <w:sz w:val="24"/>
          <w:szCs w:val="24"/>
        </w:rPr>
        <w:t xml:space="preserve"> outra instituição </w:t>
      </w:r>
      <w:r w:rsidR="00134A1D">
        <w:rPr>
          <w:rFonts w:cs="Times New Roman"/>
          <w:sz w:val="24"/>
          <w:szCs w:val="24"/>
        </w:rPr>
        <w:t xml:space="preserve">autorizada </w:t>
      </w:r>
      <w:r w:rsidR="00134A1D" w:rsidRPr="00716D4D">
        <w:rPr>
          <w:rFonts w:cs="Times New Roman"/>
          <w:sz w:val="24"/>
          <w:szCs w:val="24"/>
        </w:rPr>
        <w:t>integrante do mesmo conglomerado prudencial</w:t>
      </w:r>
      <w:r w:rsidR="009D39BE">
        <w:rPr>
          <w:rFonts w:cs="Times New Roman"/>
          <w:sz w:val="24"/>
          <w:szCs w:val="24"/>
        </w:rPr>
        <w:t>.</w:t>
      </w:r>
    </w:p>
    <w:p w:rsidR="009A51C7" w:rsidRDefault="00134A1D" w:rsidP="00134A1D">
      <w:pPr>
        <w:spacing w:before="120" w:after="120" w:line="240" w:lineRule="auto"/>
        <w:ind w:left="1134"/>
        <w:jc w:val="both"/>
        <w:rPr>
          <w:rFonts w:cs="Times New Roman"/>
          <w:sz w:val="24"/>
          <w:szCs w:val="24"/>
        </w:rPr>
      </w:pPr>
      <w:r>
        <w:rPr>
          <w:rFonts w:cs="Times New Roman"/>
          <w:sz w:val="24"/>
          <w:szCs w:val="24"/>
        </w:rPr>
        <w:t xml:space="preserve">§ 9º </w:t>
      </w:r>
      <w:r>
        <w:rPr>
          <w:sz w:val="24"/>
          <w:szCs w:val="24"/>
        </w:rPr>
        <w:t>Os requisitos de que trata</w:t>
      </w:r>
      <w:r w:rsidR="00F757E5">
        <w:rPr>
          <w:sz w:val="24"/>
          <w:szCs w:val="24"/>
        </w:rPr>
        <w:t>m</w:t>
      </w:r>
      <w:r>
        <w:rPr>
          <w:sz w:val="24"/>
          <w:szCs w:val="24"/>
        </w:rPr>
        <w:t xml:space="preserve"> o</w:t>
      </w:r>
      <w:r w:rsidR="00F757E5">
        <w:rPr>
          <w:sz w:val="24"/>
          <w:szCs w:val="24"/>
        </w:rPr>
        <w:t>s</w:t>
      </w:r>
      <w:r>
        <w:rPr>
          <w:sz w:val="24"/>
          <w:szCs w:val="24"/>
        </w:rPr>
        <w:t xml:space="preserve"> </w:t>
      </w:r>
      <w:r w:rsidR="00F757E5">
        <w:rPr>
          <w:sz w:val="24"/>
          <w:szCs w:val="24"/>
        </w:rPr>
        <w:t xml:space="preserve">§§ 2º e 8º </w:t>
      </w:r>
      <w:r>
        <w:rPr>
          <w:sz w:val="24"/>
          <w:szCs w:val="24"/>
        </w:rPr>
        <w:t xml:space="preserve">deste artigo devem ser observados </w:t>
      </w:r>
      <w:r w:rsidR="00182184">
        <w:rPr>
          <w:sz w:val="24"/>
          <w:szCs w:val="24"/>
        </w:rPr>
        <w:t xml:space="preserve">apenas </w:t>
      </w:r>
      <w:r>
        <w:rPr>
          <w:sz w:val="24"/>
          <w:szCs w:val="24"/>
        </w:rPr>
        <w:t>quando da aplicação dos recursos pelo regime próprio de previdência social.</w:t>
      </w:r>
      <w:r w:rsidR="0098795B">
        <w:rPr>
          <w:rFonts w:cs="Times New Roman"/>
          <w:sz w:val="24"/>
          <w:szCs w:val="24"/>
        </w:rPr>
        <w:t>”</w:t>
      </w:r>
      <w:r w:rsidR="00DE7A3E">
        <w:rPr>
          <w:rFonts w:cs="Times New Roman"/>
          <w:sz w:val="24"/>
          <w:szCs w:val="24"/>
        </w:rPr>
        <w:t xml:space="preserve"> (NR)</w:t>
      </w:r>
    </w:p>
    <w:p w:rsidR="008264BF" w:rsidRDefault="008264BF" w:rsidP="008264BF">
      <w:pPr>
        <w:spacing w:before="120" w:after="120" w:line="240" w:lineRule="auto"/>
        <w:ind w:left="1134"/>
        <w:jc w:val="both"/>
        <w:rPr>
          <w:rFonts w:cs="Times New Roman"/>
          <w:sz w:val="24"/>
          <w:szCs w:val="24"/>
        </w:rPr>
      </w:pPr>
    </w:p>
    <w:p w:rsidR="008264BF" w:rsidRPr="007C08A6" w:rsidRDefault="008264BF" w:rsidP="008264BF">
      <w:pPr>
        <w:spacing w:before="120" w:after="120" w:line="240" w:lineRule="auto"/>
        <w:ind w:left="1134"/>
        <w:jc w:val="both"/>
        <w:rPr>
          <w:rFonts w:cs="Times New Roman"/>
          <w:sz w:val="24"/>
          <w:szCs w:val="24"/>
        </w:rPr>
      </w:pPr>
      <w:r>
        <w:rPr>
          <w:rFonts w:cs="Times New Roman"/>
          <w:sz w:val="24"/>
          <w:szCs w:val="24"/>
        </w:rPr>
        <w:t>“</w:t>
      </w:r>
      <w:r w:rsidRPr="007C08A6">
        <w:rPr>
          <w:rFonts w:cs="Times New Roman"/>
          <w:sz w:val="24"/>
          <w:szCs w:val="24"/>
        </w:rPr>
        <w:t xml:space="preserve">Art. </w:t>
      </w:r>
      <w:r>
        <w:rPr>
          <w:rFonts w:cs="Times New Roman"/>
          <w:sz w:val="24"/>
          <w:szCs w:val="24"/>
        </w:rPr>
        <w:t>17</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Parágrafo único.  Em caso de contratação de serviços de custódia pelo regime próprio de previdência social, além do pr</w:t>
      </w:r>
      <w:r w:rsidR="00A67D8E">
        <w:rPr>
          <w:rFonts w:cs="Times New Roman"/>
          <w:sz w:val="24"/>
          <w:szCs w:val="24"/>
        </w:rPr>
        <w:t xml:space="preserve">évio credenciamento de </w:t>
      </w:r>
      <w:r w:rsidR="00A67D8E" w:rsidRPr="00A67D8E">
        <w:rPr>
          <w:rFonts w:cs="Times New Roman"/>
          <w:sz w:val="24"/>
          <w:szCs w:val="24"/>
        </w:rPr>
        <w:t>que trata o inciso VI do § 1º do art. 1º</w:t>
      </w:r>
      <w:r w:rsidRPr="008264BF">
        <w:rPr>
          <w:rFonts w:cs="Times New Roman"/>
          <w:sz w:val="24"/>
          <w:szCs w:val="24"/>
        </w:rPr>
        <w:t xml:space="preserve">, deverão ser observados os requisitos estabelecidos no art. 18 e aqueles definidos na forma </w:t>
      </w:r>
      <w:r w:rsidRPr="000B1A92">
        <w:rPr>
          <w:rFonts w:cs="Times New Roman"/>
          <w:sz w:val="24"/>
          <w:szCs w:val="24"/>
        </w:rPr>
        <w:t>do inciso IV do § 1º do art. 1º desta Resolução</w:t>
      </w:r>
      <w:r w:rsidRPr="008264BF">
        <w:rPr>
          <w:rFonts w:cs="Times New Roman"/>
          <w:sz w:val="24"/>
          <w:szCs w:val="24"/>
        </w:rPr>
        <w:t>.</w:t>
      </w:r>
      <w:r>
        <w:rPr>
          <w:rFonts w:cs="Times New Roman"/>
          <w:sz w:val="24"/>
          <w:szCs w:val="24"/>
        </w:rPr>
        <w:t>” (NR)</w:t>
      </w:r>
    </w:p>
    <w:p w:rsidR="008264BF" w:rsidRDefault="008264BF" w:rsidP="008264BF">
      <w:pPr>
        <w:spacing w:before="120" w:after="120" w:line="240" w:lineRule="auto"/>
        <w:ind w:left="1134"/>
        <w:jc w:val="both"/>
        <w:rPr>
          <w:rFonts w:cs="Times New Roman"/>
          <w:sz w:val="24"/>
          <w:szCs w:val="24"/>
        </w:rPr>
      </w:pPr>
    </w:p>
    <w:p w:rsidR="008264BF" w:rsidRPr="007C08A6" w:rsidRDefault="008264BF" w:rsidP="008264BF">
      <w:pPr>
        <w:spacing w:before="120" w:after="120" w:line="240" w:lineRule="auto"/>
        <w:ind w:left="1134"/>
        <w:jc w:val="both"/>
        <w:rPr>
          <w:rFonts w:cs="Times New Roman"/>
          <w:sz w:val="24"/>
          <w:szCs w:val="24"/>
        </w:rPr>
      </w:pPr>
      <w:r>
        <w:rPr>
          <w:rFonts w:cs="Times New Roman"/>
          <w:sz w:val="24"/>
          <w:szCs w:val="24"/>
        </w:rPr>
        <w:lastRenderedPageBreak/>
        <w:t>“</w:t>
      </w:r>
      <w:r w:rsidRPr="007C08A6">
        <w:rPr>
          <w:rFonts w:cs="Times New Roman"/>
          <w:sz w:val="24"/>
          <w:szCs w:val="24"/>
        </w:rPr>
        <w:t xml:space="preserve">Art. </w:t>
      </w:r>
      <w:r>
        <w:rPr>
          <w:rFonts w:cs="Times New Roman"/>
          <w:sz w:val="24"/>
          <w:szCs w:val="24"/>
        </w:rPr>
        <w:t>18</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8264BF" w:rsidRPr="007C08A6" w:rsidRDefault="008264BF" w:rsidP="008264BF">
      <w:pPr>
        <w:spacing w:before="120" w:after="120" w:line="240" w:lineRule="auto"/>
        <w:ind w:left="1134"/>
        <w:jc w:val="both"/>
        <w:rPr>
          <w:rFonts w:cs="Times New Roman"/>
          <w:sz w:val="24"/>
          <w:szCs w:val="24"/>
        </w:rPr>
      </w:pP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 1º  O regime próprio de previdência social deverá manter política de contratação e monitoramento periódico dos prestadores de serviço, de forma a verificar, no mínimo, que os prestadores cumprem, satisfatoriamente:</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I - os requisitos e condições estabelecidos na legislação aplicável;</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II - as condições, exigências e finalidades estabelecidas no contrato.</w:t>
      </w:r>
    </w:p>
    <w:p w:rsidR="008264BF" w:rsidRPr="008264BF" w:rsidRDefault="008264BF" w:rsidP="008264BF">
      <w:pPr>
        <w:spacing w:before="120" w:after="120" w:line="240" w:lineRule="auto"/>
        <w:ind w:left="1134"/>
        <w:jc w:val="both"/>
        <w:rPr>
          <w:rFonts w:cs="Times New Roman"/>
          <w:sz w:val="24"/>
          <w:szCs w:val="24"/>
        </w:rPr>
      </w:pPr>
      <w:r w:rsidRPr="008264BF">
        <w:rPr>
          <w:rFonts w:cs="Times New Roman"/>
          <w:sz w:val="24"/>
          <w:szCs w:val="24"/>
        </w:rPr>
        <w:t>§ 2º  O regime próprio de previdência social deve avaliar a capacidade técnica e potenciais conflitos de interesse de seus prestadores de serviços e das pessoas que participam do processo decisório,  inclusive por meio de assessoramento.</w:t>
      </w:r>
    </w:p>
    <w:p w:rsidR="00E83E19" w:rsidRDefault="008264BF" w:rsidP="008264BF">
      <w:pPr>
        <w:spacing w:before="120" w:after="120" w:line="240" w:lineRule="auto"/>
        <w:ind w:left="1134"/>
        <w:jc w:val="both"/>
        <w:rPr>
          <w:rFonts w:cs="Times New Roman"/>
          <w:sz w:val="24"/>
          <w:szCs w:val="24"/>
        </w:rPr>
      </w:pPr>
      <w:r w:rsidRPr="008264BF">
        <w:rPr>
          <w:rFonts w:cs="Times New Roman"/>
          <w:sz w:val="24"/>
          <w:szCs w:val="24"/>
        </w:rPr>
        <w:t>§ 3º  O conflito de interesse será configurado em quaisquer situações em  que  possam  ser  identificadas  ações que  não  estejam  alinhadas aos  objetivos  do  regime próprio de previdência social independentemente de obtenção de vantagem para si ou para outrem, da qual resulte ou não prejuízo.</w:t>
      </w:r>
      <w:r w:rsidR="001A3D93">
        <w:rPr>
          <w:rFonts w:cs="Times New Roman"/>
          <w:sz w:val="24"/>
          <w:szCs w:val="24"/>
        </w:rPr>
        <w:t>” (NR)</w:t>
      </w:r>
    </w:p>
    <w:p w:rsidR="00A67D8E" w:rsidRDefault="00A67D8E" w:rsidP="008264BF">
      <w:pPr>
        <w:spacing w:before="120" w:after="120" w:line="240" w:lineRule="auto"/>
        <w:ind w:left="1134"/>
        <w:jc w:val="both"/>
        <w:rPr>
          <w:rFonts w:cs="Times New Roman"/>
          <w:sz w:val="24"/>
          <w:szCs w:val="24"/>
        </w:rPr>
      </w:pPr>
    </w:p>
    <w:p w:rsidR="00A67D8E" w:rsidRPr="007C08A6" w:rsidRDefault="00A67D8E" w:rsidP="00A67D8E">
      <w:pPr>
        <w:spacing w:before="120" w:after="120" w:line="240" w:lineRule="auto"/>
        <w:ind w:left="1134"/>
        <w:jc w:val="both"/>
        <w:rPr>
          <w:rFonts w:cs="Times New Roman"/>
          <w:sz w:val="24"/>
          <w:szCs w:val="24"/>
        </w:rPr>
      </w:pPr>
      <w:r>
        <w:rPr>
          <w:rFonts w:cs="Times New Roman"/>
          <w:sz w:val="24"/>
          <w:szCs w:val="24"/>
        </w:rPr>
        <w:t>“Art. 22</w:t>
      </w:r>
      <w:r w:rsidRPr="007C08A6">
        <w:rPr>
          <w:rFonts w:cs="Times New Roman"/>
          <w:sz w:val="24"/>
          <w:szCs w:val="24"/>
        </w:rPr>
        <w:t xml:space="preserve">  </w:t>
      </w: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A67D8E" w:rsidRDefault="00A67D8E" w:rsidP="00A67D8E">
      <w:pPr>
        <w:spacing w:before="120" w:after="120" w:line="240" w:lineRule="auto"/>
        <w:ind w:left="1134"/>
        <w:jc w:val="both"/>
        <w:rPr>
          <w:rFonts w:cs="Times New Roman"/>
          <w:sz w:val="24"/>
          <w:szCs w:val="24"/>
        </w:rPr>
      </w:pP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r w:rsidRPr="007C08A6">
        <w:rPr>
          <w:rFonts w:cs="Times New Roman"/>
          <w:sz w:val="24"/>
          <w:szCs w:val="24"/>
        </w:rPr>
        <w:t>...</w:t>
      </w:r>
      <w:r>
        <w:rPr>
          <w:rFonts w:cs="Times New Roman"/>
          <w:sz w:val="24"/>
          <w:szCs w:val="24"/>
        </w:rPr>
        <w:t>.....................</w:t>
      </w:r>
    </w:p>
    <w:p w:rsidR="00A67D8E" w:rsidRPr="007C08A6" w:rsidRDefault="00A67D8E" w:rsidP="00A67D8E">
      <w:pPr>
        <w:spacing w:before="120" w:after="120" w:line="240" w:lineRule="auto"/>
        <w:ind w:left="1134"/>
        <w:jc w:val="both"/>
        <w:rPr>
          <w:rFonts w:cs="Times New Roman"/>
          <w:sz w:val="24"/>
          <w:szCs w:val="24"/>
        </w:rPr>
      </w:pPr>
      <w:r>
        <w:rPr>
          <w:rFonts w:cs="Times New Roman"/>
          <w:sz w:val="24"/>
          <w:szCs w:val="24"/>
        </w:rPr>
        <w:t>I - que não excedam 25% (vinte e cinco por cento) do limite definido no inciso VII do art. 7º e nos incisos III e IV do art. 8º;</w:t>
      </w:r>
    </w:p>
    <w:p w:rsidR="00A67D8E" w:rsidRDefault="00A67D8E" w:rsidP="00A67D8E">
      <w:pPr>
        <w:spacing w:before="120" w:after="120" w:line="240" w:lineRule="auto"/>
        <w:ind w:left="1134"/>
        <w:jc w:val="both"/>
        <w:rPr>
          <w:rFonts w:cs="Times New Roman"/>
          <w:sz w:val="24"/>
          <w:szCs w:val="24"/>
        </w:rPr>
      </w:pPr>
      <w:r>
        <w:rPr>
          <w:rFonts w:cs="Times New Roman"/>
          <w:sz w:val="24"/>
          <w:szCs w:val="24"/>
        </w:rPr>
        <w:t>......................................................................................................................................</w:t>
      </w:r>
      <w:r w:rsidR="00FB5B42">
        <w:rPr>
          <w:rFonts w:cs="Times New Roman"/>
          <w:sz w:val="24"/>
          <w:szCs w:val="24"/>
        </w:rPr>
        <w:t>...</w:t>
      </w:r>
      <w:r>
        <w:rPr>
          <w:rFonts w:cs="Times New Roman"/>
          <w:sz w:val="24"/>
          <w:szCs w:val="24"/>
        </w:rPr>
        <w:t>.</w:t>
      </w:r>
      <w:r w:rsidR="00FB5B42">
        <w:rPr>
          <w:rFonts w:cs="Times New Roman"/>
          <w:sz w:val="24"/>
          <w:szCs w:val="24"/>
        </w:rPr>
        <w:t>” (NR)</w:t>
      </w:r>
    </w:p>
    <w:p w:rsidR="00A67D8E" w:rsidRDefault="00A67D8E" w:rsidP="008264BF">
      <w:pPr>
        <w:spacing w:before="120" w:after="120" w:line="240" w:lineRule="auto"/>
        <w:ind w:left="1134"/>
        <w:jc w:val="both"/>
        <w:rPr>
          <w:rFonts w:cs="Times New Roman"/>
          <w:sz w:val="24"/>
          <w:szCs w:val="24"/>
        </w:rPr>
      </w:pPr>
    </w:p>
    <w:p w:rsidR="00F62143" w:rsidRDefault="00BF4C9F" w:rsidP="00457C21">
      <w:pPr>
        <w:spacing w:before="240" w:after="120" w:line="240" w:lineRule="auto"/>
        <w:ind w:firstLine="567"/>
        <w:jc w:val="both"/>
        <w:rPr>
          <w:rFonts w:cs="Times New Roman"/>
          <w:sz w:val="24"/>
          <w:szCs w:val="24"/>
        </w:rPr>
      </w:pPr>
      <w:r w:rsidRPr="007C08A6">
        <w:rPr>
          <w:rFonts w:cs="Times New Roman"/>
          <w:sz w:val="24"/>
          <w:szCs w:val="24"/>
        </w:rPr>
        <w:t xml:space="preserve">Art. </w:t>
      </w:r>
      <w:r>
        <w:rPr>
          <w:rFonts w:cs="Times New Roman"/>
          <w:sz w:val="24"/>
          <w:szCs w:val="24"/>
        </w:rPr>
        <w:t>2</w:t>
      </w:r>
      <w:r w:rsidRPr="007C08A6">
        <w:rPr>
          <w:rFonts w:cs="Times New Roman"/>
          <w:sz w:val="24"/>
          <w:szCs w:val="24"/>
        </w:rPr>
        <w:t xml:space="preserve">º  </w:t>
      </w:r>
      <w:r w:rsidR="00F62143" w:rsidRPr="00F62143">
        <w:rPr>
          <w:rFonts w:cs="Times New Roman"/>
          <w:sz w:val="24"/>
          <w:szCs w:val="24"/>
        </w:rPr>
        <w:t>A Resolução nº 3.922, de 2010, passa a vigorar acrescida d</w:t>
      </w:r>
      <w:r w:rsidR="000E3D52">
        <w:rPr>
          <w:rFonts w:cs="Times New Roman"/>
          <w:sz w:val="24"/>
          <w:szCs w:val="24"/>
        </w:rPr>
        <w:t>a “</w:t>
      </w:r>
      <w:r w:rsidR="000E3D52" w:rsidRPr="004D0A84">
        <w:rPr>
          <w:rFonts w:cs="Times New Roman"/>
          <w:sz w:val="24"/>
          <w:szCs w:val="24"/>
        </w:rPr>
        <w:t xml:space="preserve">Subseção IV – Segmento de Investimentos no Exterior” </w:t>
      </w:r>
      <w:r w:rsidR="00FF4067" w:rsidRPr="004D0A84">
        <w:rPr>
          <w:rFonts w:cs="Times New Roman"/>
          <w:sz w:val="24"/>
          <w:szCs w:val="24"/>
        </w:rPr>
        <w:t>na</w:t>
      </w:r>
      <w:r w:rsidR="000E3D52" w:rsidRPr="004D0A84">
        <w:rPr>
          <w:rFonts w:cs="Times New Roman"/>
          <w:sz w:val="24"/>
          <w:szCs w:val="24"/>
        </w:rPr>
        <w:t xml:space="preserve"> Seção I - DA ALOCAÇÃO DOS RECURSOS E DA POLÍTICA DE INVESTIMENTOS que passará a conter o</w:t>
      </w:r>
      <w:r w:rsidR="00F62143" w:rsidRPr="004D0A84">
        <w:rPr>
          <w:rFonts w:cs="Times New Roman"/>
          <w:sz w:val="24"/>
          <w:szCs w:val="24"/>
        </w:rPr>
        <w:t xml:space="preserve"> seguinte</w:t>
      </w:r>
      <w:r w:rsidR="006E3FA2" w:rsidRPr="004D0A84">
        <w:rPr>
          <w:rFonts w:cs="Times New Roman"/>
          <w:sz w:val="24"/>
          <w:szCs w:val="24"/>
        </w:rPr>
        <w:t xml:space="preserve"> art. 9º-A</w:t>
      </w:r>
      <w:r w:rsidR="00F62143" w:rsidRPr="004D0A84">
        <w:rPr>
          <w:rFonts w:cs="Times New Roman"/>
          <w:sz w:val="24"/>
          <w:szCs w:val="24"/>
        </w:rPr>
        <w:t>:</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“Art. 9º-A  No segmento de investimentos no exterior, as aplicações dos recursos dos regimes próprios de previdência social subordinam-se ao limite de até 10% (dez por cento) no conjunto de:</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I - cotas de fundos de investimento e cotas de fundos de investimento em cotas de fundos de investimento classificados como “Renda Fixa - Dívida Externa”;</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II - cotas de fundos de investimento constituídos no Brasil sob a forma de condomínio aberto com o sufixo “Investimento no Exterior”, nos termos da regulamentação estabelecida pela Comissão de Valores Mobiliários, que invistam, no mínimo, 67% (sessenta e sete por cento) do seu patrimônio líquido em cotas de fundos de investimento constituídos no exterior;</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t>III - cotas dos fundos da classe “Ações – BDR Nível I”, nos termos da regulamentação estabelecida pela Comissão de Valores Mobiliários.</w:t>
      </w:r>
    </w:p>
    <w:p w:rsidR="0000106D" w:rsidRPr="0000106D" w:rsidRDefault="0000106D" w:rsidP="0000106D">
      <w:pPr>
        <w:autoSpaceDE w:val="0"/>
        <w:autoSpaceDN w:val="0"/>
        <w:ind w:left="426" w:firstLine="708"/>
        <w:jc w:val="both"/>
        <w:rPr>
          <w:rFonts w:cs="Times New Roman"/>
          <w:sz w:val="24"/>
          <w:szCs w:val="24"/>
        </w:rPr>
      </w:pPr>
      <w:r w:rsidRPr="0000106D">
        <w:rPr>
          <w:rFonts w:cs="Times New Roman"/>
          <w:sz w:val="24"/>
          <w:szCs w:val="24"/>
        </w:rPr>
        <w:t>Parágrafo único.  O regime próprio de previdência social deve assegurar que:</w:t>
      </w:r>
    </w:p>
    <w:p w:rsidR="0000106D" w:rsidRPr="0000106D" w:rsidRDefault="0000106D" w:rsidP="0000106D">
      <w:pPr>
        <w:autoSpaceDE w:val="0"/>
        <w:autoSpaceDN w:val="0"/>
        <w:ind w:left="1134"/>
        <w:jc w:val="both"/>
        <w:rPr>
          <w:rFonts w:cs="Times New Roman"/>
          <w:sz w:val="24"/>
          <w:szCs w:val="24"/>
        </w:rPr>
      </w:pPr>
      <w:r w:rsidRPr="0000106D">
        <w:rPr>
          <w:rFonts w:cs="Times New Roman"/>
          <w:sz w:val="24"/>
          <w:szCs w:val="24"/>
        </w:rPr>
        <w:lastRenderedPageBreak/>
        <w:t xml:space="preserve">I - os gestores dos fundos de investimentos constituídos no exterior estejam em atividade há mais de cinco anos e administrem montante de recursos de terceiros superior a US$ 5.000.000.000,00 (cinco bilhões de dólares dos Estados Unidos da América) na data do investimento; </w:t>
      </w:r>
    </w:p>
    <w:p w:rsidR="0000106D" w:rsidRPr="0000106D" w:rsidRDefault="0000106D" w:rsidP="0000106D">
      <w:pPr>
        <w:spacing w:before="240" w:after="120" w:line="240" w:lineRule="auto"/>
        <w:ind w:left="1134"/>
        <w:jc w:val="both"/>
        <w:rPr>
          <w:rFonts w:cs="Times New Roman"/>
          <w:sz w:val="24"/>
          <w:szCs w:val="24"/>
        </w:rPr>
      </w:pPr>
      <w:r w:rsidRPr="0000106D">
        <w:rPr>
          <w:rFonts w:cs="Times New Roman"/>
          <w:sz w:val="24"/>
          <w:szCs w:val="24"/>
        </w:rPr>
        <w:t>II - os fundos de investimento constituídos no exterior possuam histórico de performance superior a doze meses.”</w:t>
      </w:r>
    </w:p>
    <w:p w:rsidR="00F62143" w:rsidRPr="004D0A84" w:rsidRDefault="00301B65" w:rsidP="0000106D">
      <w:pPr>
        <w:spacing w:before="240" w:after="120" w:line="240" w:lineRule="auto"/>
        <w:ind w:firstLine="567"/>
        <w:jc w:val="both"/>
        <w:rPr>
          <w:rFonts w:cs="Times New Roman"/>
          <w:sz w:val="24"/>
          <w:szCs w:val="24"/>
        </w:rPr>
      </w:pPr>
      <w:r>
        <w:rPr>
          <w:rFonts w:cs="Times New Roman"/>
          <w:sz w:val="24"/>
          <w:szCs w:val="24"/>
        </w:rPr>
        <w:t xml:space="preserve">Art. 3º </w:t>
      </w:r>
      <w:r w:rsidR="006E3FA2" w:rsidRPr="00F62143">
        <w:rPr>
          <w:rFonts w:cs="Times New Roman"/>
          <w:sz w:val="24"/>
          <w:szCs w:val="24"/>
        </w:rPr>
        <w:t xml:space="preserve">A Resolução nº 3.922, de 2010, </w:t>
      </w:r>
      <w:r w:rsidR="006E3FA2" w:rsidRPr="004D0A84">
        <w:rPr>
          <w:rFonts w:cs="Times New Roman"/>
          <w:sz w:val="24"/>
          <w:szCs w:val="24"/>
        </w:rPr>
        <w:t>passa a vigorar acrescida do seguinte art. 12-A:</w:t>
      </w:r>
    </w:p>
    <w:p w:rsidR="006E3FA2" w:rsidRPr="006E3FA2" w:rsidRDefault="006E3FA2" w:rsidP="006E3FA2">
      <w:pPr>
        <w:spacing w:before="120" w:after="120" w:line="240" w:lineRule="auto"/>
        <w:ind w:left="1134"/>
        <w:jc w:val="both"/>
        <w:rPr>
          <w:rFonts w:cs="Times New Roman"/>
          <w:sz w:val="24"/>
          <w:szCs w:val="24"/>
        </w:rPr>
      </w:pPr>
      <w:r w:rsidRPr="004D0A84">
        <w:rPr>
          <w:rFonts w:cs="Times New Roman"/>
          <w:sz w:val="24"/>
          <w:szCs w:val="24"/>
        </w:rPr>
        <w:t>“Art. 12-A A aplicação de recursos pelos regimes próprios de previdência social em fundos de investimentos ou em carteiras administradas, quando os regulamentos ou contratos contenham cláusulas que tratem de taxa de performance, está condicionada</w:t>
      </w:r>
      <w:r w:rsidRPr="006E3FA2">
        <w:rPr>
          <w:rFonts w:cs="Times New Roman"/>
          <w:sz w:val="24"/>
          <w:szCs w:val="24"/>
        </w:rPr>
        <w:t xml:space="preserve"> a que o pagamento da referida taxa atenda cumulativamente às seguintes condições:</w:t>
      </w:r>
    </w:p>
    <w:p w:rsidR="006E3FA2" w:rsidRPr="006E3FA2" w:rsidRDefault="006E3FA2" w:rsidP="006E3FA2">
      <w:pPr>
        <w:spacing w:before="120" w:after="120" w:line="240" w:lineRule="auto"/>
        <w:ind w:left="1134"/>
        <w:jc w:val="both"/>
        <w:rPr>
          <w:rFonts w:cs="Times New Roman"/>
          <w:sz w:val="24"/>
          <w:szCs w:val="24"/>
        </w:rPr>
      </w:pPr>
      <w:r w:rsidRPr="006E3FA2">
        <w:rPr>
          <w:rFonts w:cs="Times New Roman"/>
          <w:sz w:val="24"/>
          <w:szCs w:val="24"/>
        </w:rPr>
        <w:t xml:space="preserve">I - rentabilidade do investimento superior </w:t>
      </w:r>
      <w:r w:rsidR="00301B65">
        <w:rPr>
          <w:rFonts w:cs="Times New Roman"/>
          <w:sz w:val="24"/>
          <w:szCs w:val="24"/>
        </w:rPr>
        <w:t>à</w:t>
      </w:r>
      <w:r w:rsidRPr="006E3FA2">
        <w:rPr>
          <w:rFonts w:cs="Times New Roman"/>
          <w:sz w:val="24"/>
          <w:szCs w:val="24"/>
        </w:rPr>
        <w:t xml:space="preserve"> valorização de, no mínimo, 100% (cem por cento) do índice de referência;</w:t>
      </w:r>
    </w:p>
    <w:p w:rsidR="006E3FA2" w:rsidRPr="006E3FA2" w:rsidRDefault="006E3FA2" w:rsidP="006E3FA2">
      <w:pPr>
        <w:spacing w:before="120" w:after="120" w:line="240" w:lineRule="auto"/>
        <w:ind w:left="1134"/>
        <w:jc w:val="both"/>
        <w:rPr>
          <w:rFonts w:cs="Times New Roman"/>
          <w:sz w:val="24"/>
          <w:szCs w:val="24"/>
        </w:rPr>
      </w:pPr>
      <w:r w:rsidRPr="006E3FA2">
        <w:rPr>
          <w:rFonts w:cs="Times New Roman"/>
          <w:sz w:val="24"/>
          <w:szCs w:val="24"/>
        </w:rPr>
        <w:t>II - montante final do investimento superior ao capital inicial da aplicação ou ao valor do investimento na data do último pagamento;</w:t>
      </w:r>
    </w:p>
    <w:p w:rsidR="006E3FA2" w:rsidRPr="006E3FA2" w:rsidRDefault="006E3FA2" w:rsidP="006E3FA2">
      <w:pPr>
        <w:spacing w:before="120" w:after="120" w:line="240" w:lineRule="auto"/>
        <w:ind w:left="1134"/>
        <w:jc w:val="both"/>
        <w:rPr>
          <w:rFonts w:cs="Times New Roman"/>
          <w:sz w:val="24"/>
          <w:szCs w:val="24"/>
        </w:rPr>
      </w:pPr>
      <w:r w:rsidRPr="006E3FA2">
        <w:rPr>
          <w:rFonts w:cs="Times New Roman"/>
          <w:sz w:val="24"/>
          <w:szCs w:val="24"/>
        </w:rPr>
        <w:t xml:space="preserve">III - periodicidade, no mínimo, semestral; </w:t>
      </w:r>
    </w:p>
    <w:p w:rsidR="006E3FA2" w:rsidRPr="006E3FA2" w:rsidRDefault="006E3FA2" w:rsidP="006E3FA2">
      <w:pPr>
        <w:spacing w:before="120" w:after="120" w:line="240" w:lineRule="auto"/>
        <w:ind w:left="1134"/>
        <w:jc w:val="both"/>
        <w:rPr>
          <w:rFonts w:cs="Times New Roman"/>
          <w:sz w:val="24"/>
          <w:szCs w:val="24"/>
        </w:rPr>
      </w:pPr>
      <w:r w:rsidRPr="006E3FA2">
        <w:rPr>
          <w:rFonts w:cs="Times New Roman"/>
          <w:sz w:val="24"/>
          <w:szCs w:val="24"/>
        </w:rPr>
        <w:t>IV - conformidade com as demais regras aplicáveis a investidores que não sejam considerados qualificados, nos termos da regulamentação da Comissão de Valores Mobiliários.</w:t>
      </w:r>
    </w:p>
    <w:p w:rsidR="006E3FA2" w:rsidRDefault="006E3FA2" w:rsidP="006E3FA2">
      <w:pPr>
        <w:spacing w:before="120" w:after="120" w:line="240" w:lineRule="auto"/>
        <w:ind w:left="1134"/>
        <w:jc w:val="both"/>
        <w:rPr>
          <w:rFonts w:cs="Times New Roman"/>
          <w:sz w:val="24"/>
          <w:szCs w:val="24"/>
        </w:rPr>
      </w:pPr>
      <w:r w:rsidRPr="006E3FA2">
        <w:rPr>
          <w:rFonts w:cs="Times New Roman"/>
          <w:sz w:val="24"/>
          <w:szCs w:val="24"/>
        </w:rPr>
        <w:t xml:space="preserve">Parágrafo único. </w:t>
      </w:r>
      <w:r w:rsidR="00EB208E">
        <w:rPr>
          <w:rFonts w:cs="Times New Roman"/>
          <w:sz w:val="24"/>
          <w:szCs w:val="24"/>
        </w:rPr>
        <w:t xml:space="preserve"> </w:t>
      </w:r>
      <w:r w:rsidRPr="006E3FA2">
        <w:rPr>
          <w:rFonts w:cs="Times New Roman"/>
          <w:sz w:val="24"/>
          <w:szCs w:val="24"/>
        </w:rPr>
        <w:t xml:space="preserve">As condições previstas nos incisos III e IV do </w:t>
      </w:r>
      <w:r w:rsidRPr="00DE379B">
        <w:rPr>
          <w:rFonts w:cs="Times New Roman"/>
          <w:b/>
          <w:sz w:val="24"/>
          <w:szCs w:val="24"/>
        </w:rPr>
        <w:t>caput</w:t>
      </w:r>
      <w:r w:rsidRPr="006E3FA2">
        <w:rPr>
          <w:rFonts w:cs="Times New Roman"/>
          <w:sz w:val="24"/>
          <w:szCs w:val="24"/>
        </w:rPr>
        <w:t xml:space="preserve"> não se aplicam aos fundos de investimento cujos regulamentos estabeleçam que a taxa de performance será paga somente após a devolução aos cotistas da totalidade de seu capital integralizado no fundo</w:t>
      </w:r>
      <w:r w:rsidR="00BE3D2A">
        <w:rPr>
          <w:rFonts w:cs="Times New Roman"/>
          <w:sz w:val="24"/>
          <w:szCs w:val="24"/>
        </w:rPr>
        <w:t xml:space="preserve">, </w:t>
      </w:r>
      <w:r w:rsidR="00BE3D2A" w:rsidRPr="0000106D">
        <w:rPr>
          <w:rFonts w:cs="Times New Roman"/>
          <w:sz w:val="24"/>
          <w:szCs w:val="24"/>
        </w:rPr>
        <w:t>devidamente atualizado pelo índice de referência e taxa de retorno neles previstos.</w:t>
      </w:r>
      <w:r w:rsidRPr="0000106D">
        <w:rPr>
          <w:rFonts w:cs="Times New Roman"/>
          <w:sz w:val="24"/>
          <w:szCs w:val="24"/>
        </w:rPr>
        <w:t>”</w:t>
      </w:r>
      <w:r>
        <w:rPr>
          <w:rFonts w:cs="Times New Roman"/>
          <w:sz w:val="24"/>
          <w:szCs w:val="24"/>
        </w:rPr>
        <w:t xml:space="preserve"> (NR)</w:t>
      </w:r>
    </w:p>
    <w:p w:rsidR="008264BF" w:rsidRDefault="004127E8" w:rsidP="00457C21">
      <w:pPr>
        <w:spacing w:before="240" w:after="120" w:line="240" w:lineRule="auto"/>
        <w:ind w:firstLine="567"/>
        <w:jc w:val="both"/>
        <w:rPr>
          <w:rFonts w:cs="Times New Roman"/>
          <w:sz w:val="24"/>
          <w:szCs w:val="24"/>
        </w:rPr>
      </w:pPr>
      <w:r>
        <w:rPr>
          <w:rFonts w:cs="Times New Roman"/>
          <w:sz w:val="24"/>
          <w:szCs w:val="24"/>
        </w:rPr>
        <w:t>Art. 4</w:t>
      </w:r>
      <w:r w:rsidR="008264BF">
        <w:rPr>
          <w:rFonts w:cs="Times New Roman"/>
          <w:sz w:val="24"/>
          <w:szCs w:val="24"/>
        </w:rPr>
        <w:t xml:space="preserve">º  </w:t>
      </w:r>
      <w:r w:rsidR="008264BF" w:rsidRPr="00F62143">
        <w:rPr>
          <w:rFonts w:cs="Times New Roman"/>
          <w:sz w:val="24"/>
          <w:szCs w:val="24"/>
        </w:rPr>
        <w:t>A Resolução nº 3.922, de 2010, passa a vigorar acrescida d</w:t>
      </w:r>
      <w:r w:rsidR="008264BF">
        <w:rPr>
          <w:rFonts w:cs="Times New Roman"/>
          <w:sz w:val="24"/>
          <w:szCs w:val="24"/>
        </w:rPr>
        <w:t>o seguinte art. 23-A:</w:t>
      </w:r>
    </w:p>
    <w:p w:rsidR="008264BF" w:rsidRDefault="008264BF" w:rsidP="008264BF">
      <w:pPr>
        <w:spacing w:before="120" w:after="120" w:line="240" w:lineRule="auto"/>
        <w:ind w:left="1134"/>
        <w:jc w:val="both"/>
        <w:rPr>
          <w:rFonts w:cs="Times New Roman"/>
          <w:sz w:val="24"/>
          <w:szCs w:val="24"/>
        </w:rPr>
      </w:pPr>
      <w:r>
        <w:rPr>
          <w:rFonts w:cs="Times New Roman"/>
          <w:sz w:val="24"/>
          <w:szCs w:val="24"/>
        </w:rPr>
        <w:t>“</w:t>
      </w:r>
      <w:r w:rsidRPr="008264BF">
        <w:rPr>
          <w:rFonts w:cs="Times New Roman"/>
          <w:sz w:val="24"/>
          <w:szCs w:val="24"/>
        </w:rPr>
        <w:t>Art. 23-A.</w:t>
      </w:r>
      <w:r w:rsidR="00FF4067">
        <w:rPr>
          <w:rFonts w:cs="Times New Roman"/>
          <w:sz w:val="24"/>
          <w:szCs w:val="24"/>
        </w:rPr>
        <w:t xml:space="preserve">  </w:t>
      </w:r>
      <w:r w:rsidRPr="008264BF">
        <w:rPr>
          <w:rFonts w:cs="Times New Roman"/>
          <w:sz w:val="24"/>
          <w:szCs w:val="24"/>
        </w:rPr>
        <w:t>A Secretaria de Previdência do Ministério da Fazenda e a CVM poderão editar regulamentações procedimentais necessárias ao cumprime</w:t>
      </w:r>
      <w:r w:rsidR="00E83E19">
        <w:rPr>
          <w:rFonts w:cs="Times New Roman"/>
          <w:sz w:val="24"/>
          <w:szCs w:val="24"/>
        </w:rPr>
        <w:t xml:space="preserve">nto do disposto nesta Resolução, </w:t>
      </w:r>
      <w:r w:rsidR="0057773D" w:rsidRPr="0057773D">
        <w:rPr>
          <w:rFonts w:cs="Times New Roman"/>
          <w:sz w:val="24"/>
          <w:szCs w:val="24"/>
        </w:rPr>
        <w:t>observadas as respectivas competências legais.</w:t>
      </w:r>
      <w:r>
        <w:rPr>
          <w:rFonts w:cs="Times New Roman"/>
          <w:sz w:val="24"/>
          <w:szCs w:val="24"/>
        </w:rPr>
        <w:t>” (NR)</w:t>
      </w:r>
    </w:p>
    <w:p w:rsidR="00941DE7" w:rsidRDefault="00E81CBD" w:rsidP="00941DE7">
      <w:pPr>
        <w:spacing w:before="120" w:after="120" w:line="240" w:lineRule="auto"/>
        <w:ind w:firstLine="567"/>
        <w:jc w:val="both"/>
        <w:rPr>
          <w:rFonts w:cs="Times New Roman"/>
          <w:sz w:val="24"/>
          <w:szCs w:val="24"/>
        </w:rPr>
      </w:pPr>
      <w:r w:rsidRPr="007C08A6">
        <w:rPr>
          <w:rFonts w:cs="Times New Roman"/>
          <w:sz w:val="24"/>
          <w:szCs w:val="24"/>
        </w:rPr>
        <w:t xml:space="preserve">Art. </w:t>
      </w:r>
      <w:r w:rsidR="004127E8">
        <w:rPr>
          <w:rFonts w:cs="Times New Roman"/>
          <w:sz w:val="24"/>
          <w:szCs w:val="24"/>
        </w:rPr>
        <w:t>5</w:t>
      </w:r>
      <w:r w:rsidRPr="007C08A6">
        <w:rPr>
          <w:rFonts w:cs="Times New Roman"/>
          <w:sz w:val="24"/>
          <w:szCs w:val="24"/>
        </w:rPr>
        <w:t>º</w:t>
      </w:r>
      <w:r w:rsidR="00C222C8">
        <w:rPr>
          <w:rFonts w:cs="Times New Roman"/>
          <w:sz w:val="24"/>
          <w:szCs w:val="24"/>
        </w:rPr>
        <w:t xml:space="preserve"> </w:t>
      </w:r>
      <w:r w:rsidR="00F62143" w:rsidRPr="00F62143">
        <w:rPr>
          <w:rFonts w:cs="Times New Roman"/>
          <w:sz w:val="24"/>
          <w:szCs w:val="24"/>
        </w:rPr>
        <w:t>Ficam revogados os seguintes dispositivos da Resolução nº 3.922, de 25 de</w:t>
      </w:r>
      <w:r w:rsidR="00F62143">
        <w:rPr>
          <w:rFonts w:cs="Times New Roman"/>
          <w:sz w:val="24"/>
          <w:szCs w:val="24"/>
        </w:rPr>
        <w:t xml:space="preserve"> </w:t>
      </w:r>
      <w:r w:rsidR="00F62143" w:rsidRPr="00F62143">
        <w:rPr>
          <w:rFonts w:cs="Times New Roman"/>
          <w:sz w:val="24"/>
          <w:szCs w:val="24"/>
        </w:rPr>
        <w:t>novembro de 2010:</w:t>
      </w:r>
    </w:p>
    <w:p w:rsidR="00FE401C" w:rsidRDefault="00FE401C" w:rsidP="00941DE7">
      <w:pPr>
        <w:spacing w:before="120" w:after="120" w:line="240" w:lineRule="auto"/>
        <w:ind w:firstLine="567"/>
        <w:jc w:val="both"/>
        <w:rPr>
          <w:rFonts w:cs="Times New Roman"/>
          <w:sz w:val="24"/>
          <w:szCs w:val="24"/>
        </w:rPr>
      </w:pPr>
      <w:r>
        <w:rPr>
          <w:rFonts w:cs="Times New Roman"/>
          <w:sz w:val="24"/>
          <w:szCs w:val="24"/>
        </w:rPr>
        <w:t>I - o inciso V do § 4º do art. 7º;</w:t>
      </w:r>
    </w:p>
    <w:p w:rsidR="007114AC" w:rsidRDefault="00941DE7" w:rsidP="00941DE7">
      <w:pPr>
        <w:spacing w:before="120" w:after="120" w:line="240" w:lineRule="auto"/>
        <w:ind w:firstLine="567"/>
        <w:jc w:val="both"/>
        <w:rPr>
          <w:rFonts w:cs="Times New Roman"/>
          <w:sz w:val="24"/>
          <w:szCs w:val="24"/>
        </w:rPr>
      </w:pPr>
      <w:r>
        <w:rPr>
          <w:rFonts w:cs="Times New Roman"/>
          <w:sz w:val="24"/>
          <w:szCs w:val="24"/>
        </w:rPr>
        <w:t>II - o § 7º do art. 7º;</w:t>
      </w:r>
    </w:p>
    <w:p w:rsidR="00941DE7" w:rsidRDefault="00941DE7" w:rsidP="00941DE7">
      <w:pPr>
        <w:spacing w:before="120" w:after="120" w:line="240" w:lineRule="auto"/>
        <w:ind w:firstLine="567"/>
        <w:jc w:val="both"/>
        <w:rPr>
          <w:rFonts w:cs="Times New Roman"/>
          <w:sz w:val="24"/>
          <w:szCs w:val="24"/>
        </w:rPr>
      </w:pPr>
      <w:r>
        <w:rPr>
          <w:rFonts w:cs="Times New Roman"/>
          <w:sz w:val="24"/>
          <w:szCs w:val="24"/>
        </w:rPr>
        <w:t>III - o § 2º do art. 8º;</w:t>
      </w:r>
    </w:p>
    <w:p w:rsidR="00941DE7" w:rsidRDefault="00941DE7" w:rsidP="00941DE7">
      <w:pPr>
        <w:spacing w:before="120" w:after="120" w:line="240" w:lineRule="auto"/>
        <w:ind w:firstLine="567"/>
        <w:jc w:val="both"/>
        <w:rPr>
          <w:rFonts w:cs="Times New Roman"/>
          <w:sz w:val="24"/>
          <w:szCs w:val="24"/>
        </w:rPr>
      </w:pPr>
      <w:r>
        <w:rPr>
          <w:rFonts w:cs="Times New Roman"/>
          <w:sz w:val="24"/>
          <w:szCs w:val="24"/>
        </w:rPr>
        <w:t xml:space="preserve">IV - a alínea “b” </w:t>
      </w:r>
      <w:r w:rsidR="004127E8">
        <w:rPr>
          <w:rFonts w:cs="Times New Roman"/>
          <w:sz w:val="24"/>
          <w:szCs w:val="24"/>
        </w:rPr>
        <w:t>do inciso II do § 5º do art. 8º.</w:t>
      </w:r>
    </w:p>
    <w:p w:rsidR="001D70CC" w:rsidRPr="0044658A" w:rsidRDefault="001D70CC" w:rsidP="001D70CC">
      <w:pPr>
        <w:ind w:firstLine="567"/>
        <w:jc w:val="both"/>
        <w:rPr>
          <w:rFonts w:cs="Times New Roman"/>
          <w:sz w:val="24"/>
          <w:szCs w:val="24"/>
        </w:rPr>
      </w:pPr>
      <w:r w:rsidRPr="0044658A">
        <w:rPr>
          <w:rFonts w:cs="Times New Roman"/>
          <w:sz w:val="24"/>
          <w:szCs w:val="24"/>
        </w:rPr>
        <w:t xml:space="preserve">Art. </w:t>
      </w:r>
      <w:r>
        <w:rPr>
          <w:rFonts w:cs="Times New Roman"/>
          <w:sz w:val="24"/>
          <w:szCs w:val="24"/>
        </w:rPr>
        <w:t>6</w:t>
      </w:r>
      <w:r w:rsidRPr="0044658A">
        <w:rPr>
          <w:rFonts w:cs="Times New Roman"/>
          <w:sz w:val="24"/>
          <w:szCs w:val="24"/>
        </w:rPr>
        <w:t>º Os arts. 30 e 36 da Resolução nº 4.661, de 25 de maio de 2018, passam a vigorar com a seguinte redação:</w:t>
      </w:r>
    </w:p>
    <w:p w:rsidR="006D7016" w:rsidRDefault="001D70CC" w:rsidP="001D70CC">
      <w:pPr>
        <w:ind w:left="1134"/>
        <w:jc w:val="both"/>
        <w:rPr>
          <w:rFonts w:cs="Times New Roman"/>
          <w:sz w:val="24"/>
          <w:szCs w:val="24"/>
        </w:rPr>
      </w:pPr>
      <w:r w:rsidRPr="0018006C">
        <w:rPr>
          <w:rFonts w:cs="Times New Roman"/>
          <w:sz w:val="24"/>
          <w:szCs w:val="24"/>
        </w:rPr>
        <w:t xml:space="preserve"> </w:t>
      </w:r>
      <w:r>
        <w:rPr>
          <w:rFonts w:cs="Times New Roman"/>
          <w:sz w:val="24"/>
          <w:szCs w:val="24"/>
        </w:rPr>
        <w:t>“Art.</w:t>
      </w:r>
      <w:r w:rsidR="006D7016" w:rsidRPr="0018006C">
        <w:rPr>
          <w:rFonts w:cs="Times New Roman"/>
          <w:sz w:val="24"/>
          <w:szCs w:val="24"/>
        </w:rPr>
        <w:t>30. .............................................................................................................................</w:t>
      </w:r>
    </w:p>
    <w:p w:rsidR="006D7016" w:rsidRDefault="006D7016" w:rsidP="006D7016">
      <w:pPr>
        <w:ind w:left="1134"/>
        <w:jc w:val="both"/>
        <w:rPr>
          <w:rFonts w:cs="Times New Roman"/>
          <w:sz w:val="24"/>
          <w:szCs w:val="24"/>
        </w:rPr>
      </w:pPr>
      <w:r w:rsidRPr="00972B75">
        <w:rPr>
          <w:rFonts w:cs="Times New Roman"/>
          <w:sz w:val="24"/>
          <w:szCs w:val="24"/>
        </w:rPr>
        <w:t>...........................................................................................................................................</w:t>
      </w:r>
    </w:p>
    <w:p w:rsidR="006D7016" w:rsidRDefault="006D7016" w:rsidP="006D7016">
      <w:pPr>
        <w:ind w:left="1134"/>
        <w:jc w:val="both"/>
        <w:rPr>
          <w:rFonts w:cs="Times New Roman"/>
          <w:sz w:val="24"/>
          <w:szCs w:val="24"/>
        </w:rPr>
      </w:pPr>
      <w:r>
        <w:rPr>
          <w:rFonts w:cs="Times New Roman"/>
          <w:sz w:val="24"/>
          <w:szCs w:val="24"/>
        </w:rPr>
        <w:lastRenderedPageBreak/>
        <w:t>§ 4º</w:t>
      </w:r>
      <w:r w:rsidRPr="004112BA">
        <w:rPr>
          <w:rFonts w:cs="Times New Roman"/>
          <w:sz w:val="24"/>
          <w:szCs w:val="24"/>
        </w:rPr>
        <w:t xml:space="preserve"> O disposto nos incisos V e VI do caput não se aplica </w:t>
      </w:r>
      <w:r>
        <w:rPr>
          <w:rFonts w:cs="Times New Roman"/>
          <w:sz w:val="24"/>
          <w:szCs w:val="24"/>
        </w:rPr>
        <w:t>a</w:t>
      </w:r>
      <w:r w:rsidRPr="004112BA">
        <w:rPr>
          <w:rFonts w:cs="Times New Roman"/>
          <w:sz w:val="24"/>
          <w:szCs w:val="24"/>
        </w:rPr>
        <w:t>os fundos de investimentos e fundos de investimentos em cotas de fundos de investimentos de que trata o parágrafo único do art. 32 desta Resolução.”</w:t>
      </w:r>
      <w:r>
        <w:rPr>
          <w:rFonts w:cs="Times New Roman"/>
          <w:sz w:val="24"/>
          <w:szCs w:val="24"/>
        </w:rPr>
        <w:t xml:space="preserve"> (NR)</w:t>
      </w:r>
    </w:p>
    <w:p w:rsidR="006D7016" w:rsidRDefault="006D7016" w:rsidP="006D7016">
      <w:pPr>
        <w:ind w:left="1134"/>
        <w:jc w:val="both"/>
        <w:rPr>
          <w:rFonts w:cs="Times New Roman"/>
          <w:sz w:val="24"/>
          <w:szCs w:val="24"/>
        </w:rPr>
      </w:pPr>
      <w:r w:rsidRPr="0044658A">
        <w:rPr>
          <w:rFonts w:cs="Times New Roman"/>
          <w:sz w:val="24"/>
          <w:szCs w:val="24"/>
        </w:rPr>
        <w:t>“ Art. 36. ............................................................................................................................</w:t>
      </w:r>
    </w:p>
    <w:p w:rsidR="006D7016" w:rsidRDefault="006D7016" w:rsidP="006D7016">
      <w:pPr>
        <w:ind w:left="1134"/>
        <w:jc w:val="both"/>
        <w:rPr>
          <w:rFonts w:cs="Times New Roman"/>
          <w:sz w:val="24"/>
          <w:szCs w:val="24"/>
        </w:rPr>
      </w:pPr>
      <w:r w:rsidRPr="0044658A">
        <w:rPr>
          <w:rFonts w:cs="Times New Roman"/>
          <w:sz w:val="24"/>
          <w:szCs w:val="24"/>
        </w:rPr>
        <w:t>...........................................................................................................................................</w:t>
      </w:r>
    </w:p>
    <w:p w:rsidR="006D7016" w:rsidRDefault="006D7016" w:rsidP="006D7016">
      <w:pPr>
        <w:ind w:left="1134"/>
        <w:jc w:val="both"/>
        <w:rPr>
          <w:rFonts w:cs="Times New Roman"/>
          <w:sz w:val="24"/>
          <w:szCs w:val="24"/>
        </w:rPr>
      </w:pPr>
      <w:r w:rsidRPr="0044658A">
        <w:rPr>
          <w:rFonts w:cs="Times New Roman"/>
          <w:sz w:val="24"/>
          <w:szCs w:val="24"/>
        </w:rPr>
        <w:t>§ 2º As vedações estabelecidas nos incisos IV, V, VI, VII, IX, X, XI e XIII do caput não se</w:t>
      </w:r>
    </w:p>
    <w:p w:rsidR="006D7016" w:rsidRDefault="006D7016" w:rsidP="006D7016">
      <w:pPr>
        <w:ind w:left="1134"/>
        <w:jc w:val="both"/>
        <w:rPr>
          <w:rFonts w:cs="Times New Roman"/>
          <w:sz w:val="24"/>
          <w:szCs w:val="24"/>
        </w:rPr>
      </w:pPr>
      <w:r w:rsidRPr="0044658A">
        <w:rPr>
          <w:rFonts w:cs="Times New Roman"/>
          <w:sz w:val="24"/>
          <w:szCs w:val="24"/>
        </w:rPr>
        <w:t>aplicam aos FIP, observada regulamentação da Comissão de Valores Mobiliários.” (NR)</w:t>
      </w:r>
    </w:p>
    <w:p w:rsidR="002B2F18" w:rsidRPr="002B2F18" w:rsidRDefault="002B2F18" w:rsidP="002B2F18">
      <w:pPr>
        <w:ind w:firstLine="567"/>
        <w:rPr>
          <w:rFonts w:cs="Times New Roman"/>
          <w:sz w:val="12"/>
          <w:szCs w:val="24"/>
        </w:rPr>
      </w:pPr>
    </w:p>
    <w:p w:rsidR="00C325DB" w:rsidRDefault="00066A79" w:rsidP="00457C21">
      <w:pPr>
        <w:spacing w:before="240" w:after="120" w:line="240" w:lineRule="auto"/>
        <w:ind w:firstLine="567"/>
        <w:jc w:val="both"/>
        <w:rPr>
          <w:rFonts w:cs="Times New Roman"/>
          <w:sz w:val="24"/>
          <w:szCs w:val="24"/>
        </w:rPr>
      </w:pPr>
      <w:r w:rsidRPr="007C08A6">
        <w:rPr>
          <w:rFonts w:cs="Times New Roman"/>
          <w:sz w:val="24"/>
          <w:szCs w:val="24"/>
        </w:rPr>
        <w:t xml:space="preserve">Art. </w:t>
      </w:r>
      <w:r w:rsidR="00C222C8">
        <w:rPr>
          <w:rFonts w:cs="Times New Roman"/>
          <w:sz w:val="24"/>
          <w:szCs w:val="24"/>
        </w:rPr>
        <w:t>7</w:t>
      </w:r>
      <w:r w:rsidR="00E24A95">
        <w:rPr>
          <w:rFonts w:cs="Times New Roman"/>
          <w:sz w:val="24"/>
          <w:szCs w:val="24"/>
        </w:rPr>
        <w:t>º</w:t>
      </w:r>
      <w:r w:rsidR="00E24A95" w:rsidRPr="007C08A6">
        <w:rPr>
          <w:rFonts w:cs="Times New Roman"/>
          <w:sz w:val="24"/>
          <w:szCs w:val="24"/>
        </w:rPr>
        <w:t xml:space="preserve"> </w:t>
      </w:r>
      <w:r w:rsidRPr="007C08A6">
        <w:rPr>
          <w:rFonts w:cs="Times New Roman"/>
          <w:sz w:val="24"/>
          <w:szCs w:val="24"/>
        </w:rPr>
        <w:t xml:space="preserve">Esta </w:t>
      </w:r>
      <w:r w:rsidR="004127E8">
        <w:rPr>
          <w:rFonts w:cs="Times New Roman"/>
          <w:sz w:val="24"/>
          <w:szCs w:val="24"/>
        </w:rPr>
        <w:t>Resolução</w:t>
      </w:r>
      <w:r w:rsidRPr="007C08A6">
        <w:rPr>
          <w:rFonts w:cs="Times New Roman"/>
          <w:sz w:val="24"/>
          <w:szCs w:val="24"/>
        </w:rPr>
        <w:t xml:space="preserve"> entra em vigor</w:t>
      </w:r>
      <w:r w:rsidR="004127E8">
        <w:rPr>
          <w:rFonts w:cs="Times New Roman"/>
          <w:sz w:val="24"/>
          <w:szCs w:val="24"/>
        </w:rPr>
        <w:t xml:space="preserve"> na data de sua publicação.</w:t>
      </w:r>
    </w:p>
    <w:p w:rsidR="00E73465" w:rsidRPr="007C08A6" w:rsidRDefault="00E73465" w:rsidP="007C08A6">
      <w:pPr>
        <w:spacing w:before="120" w:after="120" w:line="240" w:lineRule="auto"/>
        <w:ind w:left="1134"/>
        <w:jc w:val="both"/>
        <w:rPr>
          <w:rFonts w:cs="Times New Roman"/>
          <w:sz w:val="24"/>
          <w:szCs w:val="24"/>
        </w:rPr>
      </w:pPr>
    </w:p>
    <w:p w:rsidR="004127E8" w:rsidRPr="004127E8" w:rsidRDefault="004127E8" w:rsidP="004127E8">
      <w:pPr>
        <w:spacing w:before="120" w:after="120" w:line="240" w:lineRule="auto"/>
        <w:jc w:val="center"/>
        <w:rPr>
          <w:rStyle w:val="nfase"/>
          <w:rFonts w:cs="Times New Roman"/>
          <w:bCs/>
          <w:i w:val="0"/>
          <w:iCs w:val="0"/>
          <w:sz w:val="24"/>
          <w:szCs w:val="24"/>
          <w:shd w:val="clear" w:color="auto" w:fill="FFFFFF"/>
        </w:rPr>
      </w:pPr>
      <w:r>
        <w:t>I</w:t>
      </w:r>
      <w:r w:rsidRPr="004127E8">
        <w:rPr>
          <w:rStyle w:val="nfase"/>
          <w:rFonts w:cs="Times New Roman"/>
          <w:bCs/>
          <w:i w:val="0"/>
          <w:iCs w:val="0"/>
          <w:sz w:val="24"/>
          <w:szCs w:val="24"/>
          <w:shd w:val="clear" w:color="auto" w:fill="FFFFFF"/>
        </w:rPr>
        <w:t>lan Goldfajn</w:t>
      </w:r>
    </w:p>
    <w:p w:rsidR="005F017B" w:rsidRPr="00075722" w:rsidRDefault="004127E8" w:rsidP="004127E8">
      <w:pPr>
        <w:spacing w:before="120" w:after="120" w:line="240" w:lineRule="auto"/>
        <w:jc w:val="center"/>
        <w:rPr>
          <w:rFonts w:cs="Times New Roman"/>
          <w:sz w:val="20"/>
          <w:szCs w:val="20"/>
        </w:rPr>
      </w:pPr>
      <w:r w:rsidRPr="004127E8">
        <w:rPr>
          <w:rStyle w:val="nfase"/>
          <w:rFonts w:cs="Times New Roman"/>
          <w:bCs/>
          <w:i w:val="0"/>
          <w:iCs w:val="0"/>
          <w:sz w:val="24"/>
          <w:szCs w:val="24"/>
          <w:shd w:val="clear" w:color="auto" w:fill="FFFFFF"/>
        </w:rPr>
        <w:t>Presidente do Banco Central do Brasil</w:t>
      </w:r>
    </w:p>
    <w:sectPr w:rsidR="005F017B" w:rsidRPr="00075722" w:rsidSect="008E7A56">
      <w:pgSz w:w="11906" w:h="16838" w:code="9"/>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25"/>
    <w:multiLevelType w:val="hybridMultilevel"/>
    <w:tmpl w:val="858E04F2"/>
    <w:lvl w:ilvl="0" w:tplc="E2FEA62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7E87E8A"/>
    <w:multiLevelType w:val="hybridMultilevel"/>
    <w:tmpl w:val="AD3673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E11EF1"/>
    <w:multiLevelType w:val="hybridMultilevel"/>
    <w:tmpl w:val="2E62BD1A"/>
    <w:lvl w:ilvl="0" w:tplc="8B94265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7A"/>
    <w:rsid w:val="0000027C"/>
    <w:rsid w:val="000006DC"/>
    <w:rsid w:val="0000106D"/>
    <w:rsid w:val="00001420"/>
    <w:rsid w:val="00001A6F"/>
    <w:rsid w:val="00001D91"/>
    <w:rsid w:val="0000294B"/>
    <w:rsid w:val="000038A0"/>
    <w:rsid w:val="000044CB"/>
    <w:rsid w:val="00004BEE"/>
    <w:rsid w:val="000051B9"/>
    <w:rsid w:val="0000605E"/>
    <w:rsid w:val="00006CCD"/>
    <w:rsid w:val="00006DE4"/>
    <w:rsid w:val="00006E1D"/>
    <w:rsid w:val="00007855"/>
    <w:rsid w:val="00007B07"/>
    <w:rsid w:val="00007E91"/>
    <w:rsid w:val="00007EE3"/>
    <w:rsid w:val="0001010E"/>
    <w:rsid w:val="00010B3B"/>
    <w:rsid w:val="00011196"/>
    <w:rsid w:val="0001244B"/>
    <w:rsid w:val="000139B2"/>
    <w:rsid w:val="00013B0C"/>
    <w:rsid w:val="00014B2B"/>
    <w:rsid w:val="00014C51"/>
    <w:rsid w:val="0001593A"/>
    <w:rsid w:val="00015A96"/>
    <w:rsid w:val="0001607C"/>
    <w:rsid w:val="000161BD"/>
    <w:rsid w:val="00017118"/>
    <w:rsid w:val="00017849"/>
    <w:rsid w:val="000202D5"/>
    <w:rsid w:val="00020BC1"/>
    <w:rsid w:val="00021F75"/>
    <w:rsid w:val="00023314"/>
    <w:rsid w:val="000235A9"/>
    <w:rsid w:val="00023BAB"/>
    <w:rsid w:val="0002403A"/>
    <w:rsid w:val="00024B76"/>
    <w:rsid w:val="00024BB2"/>
    <w:rsid w:val="00024ECD"/>
    <w:rsid w:val="0002503B"/>
    <w:rsid w:val="00025561"/>
    <w:rsid w:val="000257F4"/>
    <w:rsid w:val="00025FF2"/>
    <w:rsid w:val="00026152"/>
    <w:rsid w:val="000261CE"/>
    <w:rsid w:val="0002691D"/>
    <w:rsid w:val="000271AD"/>
    <w:rsid w:val="0002757E"/>
    <w:rsid w:val="000302A3"/>
    <w:rsid w:val="000302CA"/>
    <w:rsid w:val="00031347"/>
    <w:rsid w:val="00031BF8"/>
    <w:rsid w:val="00032136"/>
    <w:rsid w:val="00036184"/>
    <w:rsid w:val="00036428"/>
    <w:rsid w:val="000372AC"/>
    <w:rsid w:val="0004099C"/>
    <w:rsid w:val="00040AD5"/>
    <w:rsid w:val="00042CFD"/>
    <w:rsid w:val="0004348C"/>
    <w:rsid w:val="00043DCC"/>
    <w:rsid w:val="000445D8"/>
    <w:rsid w:val="00045D99"/>
    <w:rsid w:val="000469DA"/>
    <w:rsid w:val="00047455"/>
    <w:rsid w:val="00050136"/>
    <w:rsid w:val="000510A4"/>
    <w:rsid w:val="00051E4D"/>
    <w:rsid w:val="00052617"/>
    <w:rsid w:val="00052C3B"/>
    <w:rsid w:val="000537AB"/>
    <w:rsid w:val="000540AE"/>
    <w:rsid w:val="00054519"/>
    <w:rsid w:val="00054813"/>
    <w:rsid w:val="00054FC5"/>
    <w:rsid w:val="00055838"/>
    <w:rsid w:val="000560A3"/>
    <w:rsid w:val="00056827"/>
    <w:rsid w:val="0005756C"/>
    <w:rsid w:val="00057A44"/>
    <w:rsid w:val="00057EDA"/>
    <w:rsid w:val="000600E4"/>
    <w:rsid w:val="00060434"/>
    <w:rsid w:val="00060923"/>
    <w:rsid w:val="00060ABD"/>
    <w:rsid w:val="00061A16"/>
    <w:rsid w:val="0006267F"/>
    <w:rsid w:val="0006272D"/>
    <w:rsid w:val="00062F86"/>
    <w:rsid w:val="00063028"/>
    <w:rsid w:val="00063082"/>
    <w:rsid w:val="00063724"/>
    <w:rsid w:val="00063C6C"/>
    <w:rsid w:val="000645FC"/>
    <w:rsid w:val="00065D54"/>
    <w:rsid w:val="00066A79"/>
    <w:rsid w:val="00066A7B"/>
    <w:rsid w:val="00066C64"/>
    <w:rsid w:val="00067414"/>
    <w:rsid w:val="000674BE"/>
    <w:rsid w:val="000674DD"/>
    <w:rsid w:val="000705E6"/>
    <w:rsid w:val="000707E3"/>
    <w:rsid w:val="00072C43"/>
    <w:rsid w:val="0007313F"/>
    <w:rsid w:val="000753FA"/>
    <w:rsid w:val="000756F7"/>
    <w:rsid w:val="00075722"/>
    <w:rsid w:val="000769DF"/>
    <w:rsid w:val="000801D5"/>
    <w:rsid w:val="0008081A"/>
    <w:rsid w:val="00080C97"/>
    <w:rsid w:val="0008252F"/>
    <w:rsid w:val="000827FF"/>
    <w:rsid w:val="00082CBB"/>
    <w:rsid w:val="000839C8"/>
    <w:rsid w:val="00086822"/>
    <w:rsid w:val="00086AA6"/>
    <w:rsid w:val="000871D8"/>
    <w:rsid w:val="000879FA"/>
    <w:rsid w:val="000900B1"/>
    <w:rsid w:val="00090116"/>
    <w:rsid w:val="000905C3"/>
    <w:rsid w:val="00090943"/>
    <w:rsid w:val="000910C5"/>
    <w:rsid w:val="00091775"/>
    <w:rsid w:val="00091FCC"/>
    <w:rsid w:val="00092797"/>
    <w:rsid w:val="00093C6C"/>
    <w:rsid w:val="0009432F"/>
    <w:rsid w:val="000943CA"/>
    <w:rsid w:val="00094428"/>
    <w:rsid w:val="000957A8"/>
    <w:rsid w:val="000958B8"/>
    <w:rsid w:val="00095BD5"/>
    <w:rsid w:val="00095C0C"/>
    <w:rsid w:val="000967D0"/>
    <w:rsid w:val="00096B3A"/>
    <w:rsid w:val="0009701D"/>
    <w:rsid w:val="00097473"/>
    <w:rsid w:val="00097A77"/>
    <w:rsid w:val="00097FF9"/>
    <w:rsid w:val="000A04CB"/>
    <w:rsid w:val="000A0D87"/>
    <w:rsid w:val="000A0E4B"/>
    <w:rsid w:val="000A15C8"/>
    <w:rsid w:val="000A16D7"/>
    <w:rsid w:val="000A2226"/>
    <w:rsid w:val="000A2DC4"/>
    <w:rsid w:val="000A3685"/>
    <w:rsid w:val="000A3AF1"/>
    <w:rsid w:val="000A3BC4"/>
    <w:rsid w:val="000A3D1F"/>
    <w:rsid w:val="000A3FEA"/>
    <w:rsid w:val="000A4089"/>
    <w:rsid w:val="000A439C"/>
    <w:rsid w:val="000A4548"/>
    <w:rsid w:val="000A4D33"/>
    <w:rsid w:val="000A5446"/>
    <w:rsid w:val="000A5458"/>
    <w:rsid w:val="000A5C40"/>
    <w:rsid w:val="000A5F4F"/>
    <w:rsid w:val="000A6A90"/>
    <w:rsid w:val="000A740C"/>
    <w:rsid w:val="000A7A6D"/>
    <w:rsid w:val="000A7DBB"/>
    <w:rsid w:val="000B06C9"/>
    <w:rsid w:val="000B0EF3"/>
    <w:rsid w:val="000B1751"/>
    <w:rsid w:val="000B17CB"/>
    <w:rsid w:val="000B1813"/>
    <w:rsid w:val="000B1A92"/>
    <w:rsid w:val="000B2B2E"/>
    <w:rsid w:val="000B2E2D"/>
    <w:rsid w:val="000B3DE8"/>
    <w:rsid w:val="000B495D"/>
    <w:rsid w:val="000B507C"/>
    <w:rsid w:val="000B5565"/>
    <w:rsid w:val="000B5DAF"/>
    <w:rsid w:val="000B6A36"/>
    <w:rsid w:val="000B798A"/>
    <w:rsid w:val="000B7DF8"/>
    <w:rsid w:val="000B7FAA"/>
    <w:rsid w:val="000C1992"/>
    <w:rsid w:val="000C1DA3"/>
    <w:rsid w:val="000C2554"/>
    <w:rsid w:val="000C2B70"/>
    <w:rsid w:val="000C2D1D"/>
    <w:rsid w:val="000C33D4"/>
    <w:rsid w:val="000C3723"/>
    <w:rsid w:val="000C3BF3"/>
    <w:rsid w:val="000C3C10"/>
    <w:rsid w:val="000C4A35"/>
    <w:rsid w:val="000C52A5"/>
    <w:rsid w:val="000C575E"/>
    <w:rsid w:val="000C6131"/>
    <w:rsid w:val="000C6801"/>
    <w:rsid w:val="000C6D24"/>
    <w:rsid w:val="000C6DA3"/>
    <w:rsid w:val="000C6EEB"/>
    <w:rsid w:val="000C704F"/>
    <w:rsid w:val="000C7594"/>
    <w:rsid w:val="000C7686"/>
    <w:rsid w:val="000D03DA"/>
    <w:rsid w:val="000D0662"/>
    <w:rsid w:val="000D07DF"/>
    <w:rsid w:val="000D0DD6"/>
    <w:rsid w:val="000D108C"/>
    <w:rsid w:val="000D17A3"/>
    <w:rsid w:val="000D2F2C"/>
    <w:rsid w:val="000D3147"/>
    <w:rsid w:val="000D3241"/>
    <w:rsid w:val="000D3BEA"/>
    <w:rsid w:val="000D3F40"/>
    <w:rsid w:val="000D4EC2"/>
    <w:rsid w:val="000D56D1"/>
    <w:rsid w:val="000D6321"/>
    <w:rsid w:val="000D6AED"/>
    <w:rsid w:val="000D6BE0"/>
    <w:rsid w:val="000D782A"/>
    <w:rsid w:val="000E012E"/>
    <w:rsid w:val="000E141B"/>
    <w:rsid w:val="000E16B5"/>
    <w:rsid w:val="000E2806"/>
    <w:rsid w:val="000E29E7"/>
    <w:rsid w:val="000E2D3F"/>
    <w:rsid w:val="000E2F17"/>
    <w:rsid w:val="000E3613"/>
    <w:rsid w:val="000E3986"/>
    <w:rsid w:val="000E3D52"/>
    <w:rsid w:val="000E3EAB"/>
    <w:rsid w:val="000E4AE4"/>
    <w:rsid w:val="000E4E7D"/>
    <w:rsid w:val="000E5131"/>
    <w:rsid w:val="000E5B91"/>
    <w:rsid w:val="000E6BA5"/>
    <w:rsid w:val="000E745B"/>
    <w:rsid w:val="000E7E74"/>
    <w:rsid w:val="000F0D20"/>
    <w:rsid w:val="000F11AC"/>
    <w:rsid w:val="000F1522"/>
    <w:rsid w:val="000F2123"/>
    <w:rsid w:val="000F26B1"/>
    <w:rsid w:val="000F2A2F"/>
    <w:rsid w:val="000F3D55"/>
    <w:rsid w:val="000F3F10"/>
    <w:rsid w:val="000F4768"/>
    <w:rsid w:val="000F484E"/>
    <w:rsid w:val="000F4A04"/>
    <w:rsid w:val="000F6567"/>
    <w:rsid w:val="000F6991"/>
    <w:rsid w:val="000F6AF5"/>
    <w:rsid w:val="000F6D7E"/>
    <w:rsid w:val="000F7DFF"/>
    <w:rsid w:val="000F7FC5"/>
    <w:rsid w:val="00100C7A"/>
    <w:rsid w:val="001017B7"/>
    <w:rsid w:val="0010215D"/>
    <w:rsid w:val="00102445"/>
    <w:rsid w:val="001024A3"/>
    <w:rsid w:val="00102597"/>
    <w:rsid w:val="001038D3"/>
    <w:rsid w:val="00103B67"/>
    <w:rsid w:val="001043B3"/>
    <w:rsid w:val="00104C3B"/>
    <w:rsid w:val="00105998"/>
    <w:rsid w:val="001060D7"/>
    <w:rsid w:val="001068AA"/>
    <w:rsid w:val="00106ABD"/>
    <w:rsid w:val="001070C7"/>
    <w:rsid w:val="001113A2"/>
    <w:rsid w:val="001123A3"/>
    <w:rsid w:val="00112542"/>
    <w:rsid w:val="00112855"/>
    <w:rsid w:val="0011368C"/>
    <w:rsid w:val="00113A26"/>
    <w:rsid w:val="00113B65"/>
    <w:rsid w:val="00113CD0"/>
    <w:rsid w:val="00114076"/>
    <w:rsid w:val="001141DB"/>
    <w:rsid w:val="0011450E"/>
    <w:rsid w:val="0011542B"/>
    <w:rsid w:val="001159BA"/>
    <w:rsid w:val="00115E1D"/>
    <w:rsid w:val="00116C92"/>
    <w:rsid w:val="00117EFD"/>
    <w:rsid w:val="001204A6"/>
    <w:rsid w:val="0012089A"/>
    <w:rsid w:val="00120CEC"/>
    <w:rsid w:val="00121F2F"/>
    <w:rsid w:val="00122428"/>
    <w:rsid w:val="00122709"/>
    <w:rsid w:val="0012286E"/>
    <w:rsid w:val="00122B9B"/>
    <w:rsid w:val="00122DE5"/>
    <w:rsid w:val="00122E91"/>
    <w:rsid w:val="001238A7"/>
    <w:rsid w:val="00124B3B"/>
    <w:rsid w:val="00124B45"/>
    <w:rsid w:val="00125169"/>
    <w:rsid w:val="0012529D"/>
    <w:rsid w:val="00126B0B"/>
    <w:rsid w:val="00126E8A"/>
    <w:rsid w:val="001276B2"/>
    <w:rsid w:val="001315DF"/>
    <w:rsid w:val="00131A2F"/>
    <w:rsid w:val="00131C86"/>
    <w:rsid w:val="001326A6"/>
    <w:rsid w:val="00132B56"/>
    <w:rsid w:val="00133C16"/>
    <w:rsid w:val="00134A1D"/>
    <w:rsid w:val="00135956"/>
    <w:rsid w:val="00136353"/>
    <w:rsid w:val="00136C71"/>
    <w:rsid w:val="00136E07"/>
    <w:rsid w:val="00136E86"/>
    <w:rsid w:val="00136FCC"/>
    <w:rsid w:val="0013710E"/>
    <w:rsid w:val="00140426"/>
    <w:rsid w:val="0014082E"/>
    <w:rsid w:val="001409AE"/>
    <w:rsid w:val="001410AF"/>
    <w:rsid w:val="0014150D"/>
    <w:rsid w:val="00141F72"/>
    <w:rsid w:val="00142110"/>
    <w:rsid w:val="00143D40"/>
    <w:rsid w:val="00144A64"/>
    <w:rsid w:val="00144C34"/>
    <w:rsid w:val="00144F91"/>
    <w:rsid w:val="00145CED"/>
    <w:rsid w:val="00146B53"/>
    <w:rsid w:val="00146C3F"/>
    <w:rsid w:val="001476B7"/>
    <w:rsid w:val="001476ED"/>
    <w:rsid w:val="00147700"/>
    <w:rsid w:val="00150476"/>
    <w:rsid w:val="001521C1"/>
    <w:rsid w:val="00152317"/>
    <w:rsid w:val="001529C4"/>
    <w:rsid w:val="001539AD"/>
    <w:rsid w:val="001544C3"/>
    <w:rsid w:val="0015469C"/>
    <w:rsid w:val="00155154"/>
    <w:rsid w:val="001551AE"/>
    <w:rsid w:val="00155BDA"/>
    <w:rsid w:val="00155CAD"/>
    <w:rsid w:val="00157AB0"/>
    <w:rsid w:val="00160918"/>
    <w:rsid w:val="00160D3B"/>
    <w:rsid w:val="00161FCD"/>
    <w:rsid w:val="001627C1"/>
    <w:rsid w:val="00162C0F"/>
    <w:rsid w:val="00163739"/>
    <w:rsid w:val="00163BDC"/>
    <w:rsid w:val="00164CE9"/>
    <w:rsid w:val="00165571"/>
    <w:rsid w:val="00165C32"/>
    <w:rsid w:val="00165D1E"/>
    <w:rsid w:val="00165DAA"/>
    <w:rsid w:val="00166958"/>
    <w:rsid w:val="0016747D"/>
    <w:rsid w:val="00170A9A"/>
    <w:rsid w:val="00170B44"/>
    <w:rsid w:val="00170CCB"/>
    <w:rsid w:val="00171424"/>
    <w:rsid w:val="00172BF0"/>
    <w:rsid w:val="00173610"/>
    <w:rsid w:val="0017451D"/>
    <w:rsid w:val="0017483E"/>
    <w:rsid w:val="001754E2"/>
    <w:rsid w:val="00176C60"/>
    <w:rsid w:val="00177089"/>
    <w:rsid w:val="00177206"/>
    <w:rsid w:val="001801D5"/>
    <w:rsid w:val="001803D6"/>
    <w:rsid w:val="00180AF3"/>
    <w:rsid w:val="00180C47"/>
    <w:rsid w:val="001812B3"/>
    <w:rsid w:val="00182184"/>
    <w:rsid w:val="00182978"/>
    <w:rsid w:val="00183F30"/>
    <w:rsid w:val="00183FF3"/>
    <w:rsid w:val="00184AC2"/>
    <w:rsid w:val="0018589C"/>
    <w:rsid w:val="00186AF0"/>
    <w:rsid w:val="00187EDD"/>
    <w:rsid w:val="001907C9"/>
    <w:rsid w:val="001908B0"/>
    <w:rsid w:val="00190CB0"/>
    <w:rsid w:val="001913F6"/>
    <w:rsid w:val="00191869"/>
    <w:rsid w:val="00191E32"/>
    <w:rsid w:val="00191E41"/>
    <w:rsid w:val="0019227D"/>
    <w:rsid w:val="001924F2"/>
    <w:rsid w:val="0019341A"/>
    <w:rsid w:val="00193A03"/>
    <w:rsid w:val="00193AE9"/>
    <w:rsid w:val="00194652"/>
    <w:rsid w:val="00194AE3"/>
    <w:rsid w:val="00194BAC"/>
    <w:rsid w:val="00195093"/>
    <w:rsid w:val="0019522B"/>
    <w:rsid w:val="0019545F"/>
    <w:rsid w:val="00195614"/>
    <w:rsid w:val="0019592D"/>
    <w:rsid w:val="0019644C"/>
    <w:rsid w:val="00197562"/>
    <w:rsid w:val="001A1D4A"/>
    <w:rsid w:val="001A23A3"/>
    <w:rsid w:val="001A2AC2"/>
    <w:rsid w:val="001A3053"/>
    <w:rsid w:val="001A3878"/>
    <w:rsid w:val="001A3D93"/>
    <w:rsid w:val="001A4170"/>
    <w:rsid w:val="001A4F0A"/>
    <w:rsid w:val="001A5126"/>
    <w:rsid w:val="001A58C1"/>
    <w:rsid w:val="001A631B"/>
    <w:rsid w:val="001A6716"/>
    <w:rsid w:val="001A6FBE"/>
    <w:rsid w:val="001A7079"/>
    <w:rsid w:val="001A7532"/>
    <w:rsid w:val="001A7C1F"/>
    <w:rsid w:val="001B0DFD"/>
    <w:rsid w:val="001B0FDC"/>
    <w:rsid w:val="001B1785"/>
    <w:rsid w:val="001B202B"/>
    <w:rsid w:val="001B2346"/>
    <w:rsid w:val="001B35C0"/>
    <w:rsid w:val="001B4B55"/>
    <w:rsid w:val="001B50EF"/>
    <w:rsid w:val="001B6F36"/>
    <w:rsid w:val="001B7112"/>
    <w:rsid w:val="001B7F91"/>
    <w:rsid w:val="001C03DC"/>
    <w:rsid w:val="001C064A"/>
    <w:rsid w:val="001C0FC3"/>
    <w:rsid w:val="001C1537"/>
    <w:rsid w:val="001C164B"/>
    <w:rsid w:val="001C18AE"/>
    <w:rsid w:val="001C1B33"/>
    <w:rsid w:val="001C2AFF"/>
    <w:rsid w:val="001C2D14"/>
    <w:rsid w:val="001C415E"/>
    <w:rsid w:val="001C55DC"/>
    <w:rsid w:val="001C745D"/>
    <w:rsid w:val="001C74E4"/>
    <w:rsid w:val="001D0230"/>
    <w:rsid w:val="001D041E"/>
    <w:rsid w:val="001D0C35"/>
    <w:rsid w:val="001D0E4B"/>
    <w:rsid w:val="001D16D7"/>
    <w:rsid w:val="001D2607"/>
    <w:rsid w:val="001D3EDA"/>
    <w:rsid w:val="001D3EF6"/>
    <w:rsid w:val="001D4AE8"/>
    <w:rsid w:val="001D4E5D"/>
    <w:rsid w:val="001D5331"/>
    <w:rsid w:val="001D59CE"/>
    <w:rsid w:val="001D6235"/>
    <w:rsid w:val="001D70CC"/>
    <w:rsid w:val="001D7290"/>
    <w:rsid w:val="001D7975"/>
    <w:rsid w:val="001D7FE7"/>
    <w:rsid w:val="001E0338"/>
    <w:rsid w:val="001E0EFD"/>
    <w:rsid w:val="001E1334"/>
    <w:rsid w:val="001E1DCF"/>
    <w:rsid w:val="001E266C"/>
    <w:rsid w:val="001E2CE9"/>
    <w:rsid w:val="001E3396"/>
    <w:rsid w:val="001E3DE7"/>
    <w:rsid w:val="001E4539"/>
    <w:rsid w:val="001E49F9"/>
    <w:rsid w:val="001E5F69"/>
    <w:rsid w:val="001E621C"/>
    <w:rsid w:val="001E681B"/>
    <w:rsid w:val="001E6902"/>
    <w:rsid w:val="001E6D3C"/>
    <w:rsid w:val="001E7128"/>
    <w:rsid w:val="001F1F0E"/>
    <w:rsid w:val="001F1FDE"/>
    <w:rsid w:val="001F2241"/>
    <w:rsid w:val="001F2607"/>
    <w:rsid w:val="001F2C6C"/>
    <w:rsid w:val="001F39C0"/>
    <w:rsid w:val="001F4AAE"/>
    <w:rsid w:val="001F4EA7"/>
    <w:rsid w:val="001F505F"/>
    <w:rsid w:val="001F5E60"/>
    <w:rsid w:val="001F6823"/>
    <w:rsid w:val="001F69F5"/>
    <w:rsid w:val="001F6A9F"/>
    <w:rsid w:val="001F6B9E"/>
    <w:rsid w:val="002012D3"/>
    <w:rsid w:val="00202D8D"/>
    <w:rsid w:val="00202DF7"/>
    <w:rsid w:val="0020333F"/>
    <w:rsid w:val="0020389B"/>
    <w:rsid w:val="0020470D"/>
    <w:rsid w:val="0020486B"/>
    <w:rsid w:val="00204B42"/>
    <w:rsid w:val="0020539D"/>
    <w:rsid w:val="002056B2"/>
    <w:rsid w:val="0020590A"/>
    <w:rsid w:val="00205B81"/>
    <w:rsid w:val="00205FC7"/>
    <w:rsid w:val="002060F9"/>
    <w:rsid w:val="002069F8"/>
    <w:rsid w:val="00206E77"/>
    <w:rsid w:val="002101A9"/>
    <w:rsid w:val="0021038F"/>
    <w:rsid w:val="002105E6"/>
    <w:rsid w:val="00211ECF"/>
    <w:rsid w:val="002134BB"/>
    <w:rsid w:val="002136E7"/>
    <w:rsid w:val="002139ED"/>
    <w:rsid w:val="00214333"/>
    <w:rsid w:val="00214386"/>
    <w:rsid w:val="00215276"/>
    <w:rsid w:val="00215600"/>
    <w:rsid w:val="00215EC2"/>
    <w:rsid w:val="0021621D"/>
    <w:rsid w:val="00216369"/>
    <w:rsid w:val="002163B9"/>
    <w:rsid w:val="002167B6"/>
    <w:rsid w:val="00216EB7"/>
    <w:rsid w:val="00217FBB"/>
    <w:rsid w:val="0022098D"/>
    <w:rsid w:val="00220A05"/>
    <w:rsid w:val="00221501"/>
    <w:rsid w:val="00222377"/>
    <w:rsid w:val="002224F0"/>
    <w:rsid w:val="00222F31"/>
    <w:rsid w:val="00222F38"/>
    <w:rsid w:val="00223608"/>
    <w:rsid w:val="002236D6"/>
    <w:rsid w:val="002240FA"/>
    <w:rsid w:val="00224196"/>
    <w:rsid w:val="00224394"/>
    <w:rsid w:val="002245D0"/>
    <w:rsid w:val="00224C02"/>
    <w:rsid w:val="002256F6"/>
    <w:rsid w:val="002260C9"/>
    <w:rsid w:val="0022650A"/>
    <w:rsid w:val="002269C9"/>
    <w:rsid w:val="00226EB2"/>
    <w:rsid w:val="0022712A"/>
    <w:rsid w:val="00227133"/>
    <w:rsid w:val="002273D2"/>
    <w:rsid w:val="00227833"/>
    <w:rsid w:val="0022790E"/>
    <w:rsid w:val="002301B8"/>
    <w:rsid w:val="00230244"/>
    <w:rsid w:val="0023028E"/>
    <w:rsid w:val="002306C0"/>
    <w:rsid w:val="002306DB"/>
    <w:rsid w:val="00230721"/>
    <w:rsid w:val="0023082D"/>
    <w:rsid w:val="00230EEA"/>
    <w:rsid w:val="00231321"/>
    <w:rsid w:val="00231B6B"/>
    <w:rsid w:val="002325A1"/>
    <w:rsid w:val="00232919"/>
    <w:rsid w:val="00232DE3"/>
    <w:rsid w:val="0023353B"/>
    <w:rsid w:val="00233F52"/>
    <w:rsid w:val="002341F2"/>
    <w:rsid w:val="00234AFF"/>
    <w:rsid w:val="00234C58"/>
    <w:rsid w:val="00236716"/>
    <w:rsid w:val="00236A31"/>
    <w:rsid w:val="002371BE"/>
    <w:rsid w:val="00237837"/>
    <w:rsid w:val="0024037C"/>
    <w:rsid w:val="002404DF"/>
    <w:rsid w:val="00240AF2"/>
    <w:rsid w:val="00240E30"/>
    <w:rsid w:val="00241C3D"/>
    <w:rsid w:val="00241D0C"/>
    <w:rsid w:val="0024265E"/>
    <w:rsid w:val="00242F3A"/>
    <w:rsid w:val="00243012"/>
    <w:rsid w:val="002440B9"/>
    <w:rsid w:val="00244508"/>
    <w:rsid w:val="00244DA6"/>
    <w:rsid w:val="002458D5"/>
    <w:rsid w:val="00245D13"/>
    <w:rsid w:val="00245F1C"/>
    <w:rsid w:val="0024622B"/>
    <w:rsid w:val="00246947"/>
    <w:rsid w:val="00246EA0"/>
    <w:rsid w:val="00246F79"/>
    <w:rsid w:val="00247C4C"/>
    <w:rsid w:val="002504A7"/>
    <w:rsid w:val="00251076"/>
    <w:rsid w:val="002517E1"/>
    <w:rsid w:val="002524DA"/>
    <w:rsid w:val="002525A0"/>
    <w:rsid w:val="00252628"/>
    <w:rsid w:val="002528E7"/>
    <w:rsid w:val="002539C7"/>
    <w:rsid w:val="00254D93"/>
    <w:rsid w:val="00254F75"/>
    <w:rsid w:val="00255E71"/>
    <w:rsid w:val="0025683E"/>
    <w:rsid w:val="002574C2"/>
    <w:rsid w:val="0025791F"/>
    <w:rsid w:val="00257C80"/>
    <w:rsid w:val="00257C8C"/>
    <w:rsid w:val="00260313"/>
    <w:rsid w:val="00261C01"/>
    <w:rsid w:val="0026243C"/>
    <w:rsid w:val="002625A9"/>
    <w:rsid w:val="00262AE1"/>
    <w:rsid w:val="00262CC5"/>
    <w:rsid w:val="00263273"/>
    <w:rsid w:val="00263EE4"/>
    <w:rsid w:val="0026437E"/>
    <w:rsid w:val="00264B74"/>
    <w:rsid w:val="00265227"/>
    <w:rsid w:val="002654DB"/>
    <w:rsid w:val="002658C3"/>
    <w:rsid w:val="00265EA2"/>
    <w:rsid w:val="00265EB8"/>
    <w:rsid w:val="00266140"/>
    <w:rsid w:val="002675AA"/>
    <w:rsid w:val="002675D3"/>
    <w:rsid w:val="002701F3"/>
    <w:rsid w:val="002702DA"/>
    <w:rsid w:val="002703E7"/>
    <w:rsid w:val="00270943"/>
    <w:rsid w:val="00270FA7"/>
    <w:rsid w:val="002717E5"/>
    <w:rsid w:val="002731A9"/>
    <w:rsid w:val="002736BD"/>
    <w:rsid w:val="002759BB"/>
    <w:rsid w:val="00275C8D"/>
    <w:rsid w:val="00276B40"/>
    <w:rsid w:val="00276F4D"/>
    <w:rsid w:val="002770BB"/>
    <w:rsid w:val="00277BEB"/>
    <w:rsid w:val="00280265"/>
    <w:rsid w:val="00280387"/>
    <w:rsid w:val="00280631"/>
    <w:rsid w:val="00280FC9"/>
    <w:rsid w:val="00281AD9"/>
    <w:rsid w:val="00281BC1"/>
    <w:rsid w:val="00281E0A"/>
    <w:rsid w:val="00282526"/>
    <w:rsid w:val="0028295F"/>
    <w:rsid w:val="00282AB4"/>
    <w:rsid w:val="00282D15"/>
    <w:rsid w:val="00283A6F"/>
    <w:rsid w:val="0028451A"/>
    <w:rsid w:val="00284BDC"/>
    <w:rsid w:val="0028593A"/>
    <w:rsid w:val="00286E2E"/>
    <w:rsid w:val="00287BEE"/>
    <w:rsid w:val="00290E57"/>
    <w:rsid w:val="002911AC"/>
    <w:rsid w:val="00292AC4"/>
    <w:rsid w:val="00293684"/>
    <w:rsid w:val="002946DF"/>
    <w:rsid w:val="00295DF4"/>
    <w:rsid w:val="00296283"/>
    <w:rsid w:val="00296822"/>
    <w:rsid w:val="002969E0"/>
    <w:rsid w:val="00297A5F"/>
    <w:rsid w:val="00297F97"/>
    <w:rsid w:val="002A027A"/>
    <w:rsid w:val="002A0782"/>
    <w:rsid w:val="002A0E3E"/>
    <w:rsid w:val="002A117D"/>
    <w:rsid w:val="002A1E56"/>
    <w:rsid w:val="002A2655"/>
    <w:rsid w:val="002A37A3"/>
    <w:rsid w:val="002A3FBC"/>
    <w:rsid w:val="002A494A"/>
    <w:rsid w:val="002A4F0A"/>
    <w:rsid w:val="002A57C5"/>
    <w:rsid w:val="002A5EE2"/>
    <w:rsid w:val="002A6612"/>
    <w:rsid w:val="002A7812"/>
    <w:rsid w:val="002B0D73"/>
    <w:rsid w:val="002B18E1"/>
    <w:rsid w:val="002B222B"/>
    <w:rsid w:val="002B237D"/>
    <w:rsid w:val="002B295E"/>
    <w:rsid w:val="002B2F18"/>
    <w:rsid w:val="002B315E"/>
    <w:rsid w:val="002B3633"/>
    <w:rsid w:val="002B3A88"/>
    <w:rsid w:val="002B3B4D"/>
    <w:rsid w:val="002B3E72"/>
    <w:rsid w:val="002B454D"/>
    <w:rsid w:val="002B4EBF"/>
    <w:rsid w:val="002B50DB"/>
    <w:rsid w:val="002B5C6C"/>
    <w:rsid w:val="002B6040"/>
    <w:rsid w:val="002B7311"/>
    <w:rsid w:val="002B77F9"/>
    <w:rsid w:val="002B79B2"/>
    <w:rsid w:val="002C0326"/>
    <w:rsid w:val="002C0F20"/>
    <w:rsid w:val="002C1333"/>
    <w:rsid w:val="002C172E"/>
    <w:rsid w:val="002C243B"/>
    <w:rsid w:val="002C2689"/>
    <w:rsid w:val="002C27EB"/>
    <w:rsid w:val="002C2C9D"/>
    <w:rsid w:val="002C3621"/>
    <w:rsid w:val="002C3949"/>
    <w:rsid w:val="002C3B9B"/>
    <w:rsid w:val="002C497D"/>
    <w:rsid w:val="002C4C29"/>
    <w:rsid w:val="002C5491"/>
    <w:rsid w:val="002C54F8"/>
    <w:rsid w:val="002C55AD"/>
    <w:rsid w:val="002C681B"/>
    <w:rsid w:val="002C6CCD"/>
    <w:rsid w:val="002C7329"/>
    <w:rsid w:val="002D060B"/>
    <w:rsid w:val="002D0DB3"/>
    <w:rsid w:val="002D18A8"/>
    <w:rsid w:val="002D1C64"/>
    <w:rsid w:val="002D29F1"/>
    <w:rsid w:val="002D2A62"/>
    <w:rsid w:val="002D32FF"/>
    <w:rsid w:val="002D3577"/>
    <w:rsid w:val="002D35F4"/>
    <w:rsid w:val="002D3B30"/>
    <w:rsid w:val="002D495F"/>
    <w:rsid w:val="002D4D02"/>
    <w:rsid w:val="002D53BC"/>
    <w:rsid w:val="002D5C18"/>
    <w:rsid w:val="002D727F"/>
    <w:rsid w:val="002D7CBE"/>
    <w:rsid w:val="002E038E"/>
    <w:rsid w:val="002E0F7E"/>
    <w:rsid w:val="002E10FF"/>
    <w:rsid w:val="002E1876"/>
    <w:rsid w:val="002E1D3E"/>
    <w:rsid w:val="002E1EE9"/>
    <w:rsid w:val="002E2041"/>
    <w:rsid w:val="002E2C24"/>
    <w:rsid w:val="002E30E2"/>
    <w:rsid w:val="002E33D9"/>
    <w:rsid w:val="002E3B9C"/>
    <w:rsid w:val="002E3BD5"/>
    <w:rsid w:val="002E3DB3"/>
    <w:rsid w:val="002E4037"/>
    <w:rsid w:val="002E4C2D"/>
    <w:rsid w:val="002E5979"/>
    <w:rsid w:val="002E6F2C"/>
    <w:rsid w:val="002E7503"/>
    <w:rsid w:val="002E79E5"/>
    <w:rsid w:val="002E79F9"/>
    <w:rsid w:val="002E7D26"/>
    <w:rsid w:val="002F0468"/>
    <w:rsid w:val="002F048E"/>
    <w:rsid w:val="002F0EEA"/>
    <w:rsid w:val="002F133E"/>
    <w:rsid w:val="002F1CF6"/>
    <w:rsid w:val="002F2055"/>
    <w:rsid w:val="002F26E0"/>
    <w:rsid w:val="002F291E"/>
    <w:rsid w:val="002F2C50"/>
    <w:rsid w:val="002F3482"/>
    <w:rsid w:val="002F3736"/>
    <w:rsid w:val="002F3B13"/>
    <w:rsid w:val="002F419F"/>
    <w:rsid w:val="002F4AA0"/>
    <w:rsid w:val="002F53C6"/>
    <w:rsid w:val="002F53FA"/>
    <w:rsid w:val="002F62D0"/>
    <w:rsid w:val="002F6B76"/>
    <w:rsid w:val="002F722F"/>
    <w:rsid w:val="002F74DF"/>
    <w:rsid w:val="002F7AFB"/>
    <w:rsid w:val="00301772"/>
    <w:rsid w:val="00301A95"/>
    <w:rsid w:val="00301B65"/>
    <w:rsid w:val="00301C43"/>
    <w:rsid w:val="003023CC"/>
    <w:rsid w:val="003024A8"/>
    <w:rsid w:val="00302745"/>
    <w:rsid w:val="00302E4E"/>
    <w:rsid w:val="00304663"/>
    <w:rsid w:val="00304B4E"/>
    <w:rsid w:val="00304F8C"/>
    <w:rsid w:val="003053D6"/>
    <w:rsid w:val="003053F4"/>
    <w:rsid w:val="003061BB"/>
    <w:rsid w:val="00306587"/>
    <w:rsid w:val="003103F9"/>
    <w:rsid w:val="003109F3"/>
    <w:rsid w:val="003111A6"/>
    <w:rsid w:val="0031172F"/>
    <w:rsid w:val="00311ECA"/>
    <w:rsid w:val="00312808"/>
    <w:rsid w:val="00312F4B"/>
    <w:rsid w:val="00313389"/>
    <w:rsid w:val="003139A4"/>
    <w:rsid w:val="00313C7F"/>
    <w:rsid w:val="00314090"/>
    <w:rsid w:val="00314D3D"/>
    <w:rsid w:val="00315057"/>
    <w:rsid w:val="00315317"/>
    <w:rsid w:val="00315B58"/>
    <w:rsid w:val="00316E22"/>
    <w:rsid w:val="00316E45"/>
    <w:rsid w:val="00316E76"/>
    <w:rsid w:val="003170A6"/>
    <w:rsid w:val="00317190"/>
    <w:rsid w:val="003171B7"/>
    <w:rsid w:val="003173AA"/>
    <w:rsid w:val="00317423"/>
    <w:rsid w:val="003179C7"/>
    <w:rsid w:val="00317F28"/>
    <w:rsid w:val="0032082A"/>
    <w:rsid w:val="00321B5E"/>
    <w:rsid w:val="00322FBA"/>
    <w:rsid w:val="0032332C"/>
    <w:rsid w:val="00323830"/>
    <w:rsid w:val="003246D4"/>
    <w:rsid w:val="00324A9C"/>
    <w:rsid w:val="0032672B"/>
    <w:rsid w:val="00330ED3"/>
    <w:rsid w:val="00330EDE"/>
    <w:rsid w:val="0033118B"/>
    <w:rsid w:val="00332059"/>
    <w:rsid w:val="00332AEF"/>
    <w:rsid w:val="00332E12"/>
    <w:rsid w:val="003344DF"/>
    <w:rsid w:val="0033470C"/>
    <w:rsid w:val="0033530B"/>
    <w:rsid w:val="0033564B"/>
    <w:rsid w:val="003368C8"/>
    <w:rsid w:val="00337014"/>
    <w:rsid w:val="0033749E"/>
    <w:rsid w:val="0033757C"/>
    <w:rsid w:val="0034114E"/>
    <w:rsid w:val="00341175"/>
    <w:rsid w:val="0034117B"/>
    <w:rsid w:val="00341672"/>
    <w:rsid w:val="003416D7"/>
    <w:rsid w:val="00342013"/>
    <w:rsid w:val="0034264C"/>
    <w:rsid w:val="00342EE1"/>
    <w:rsid w:val="003435F0"/>
    <w:rsid w:val="00343711"/>
    <w:rsid w:val="00343C98"/>
    <w:rsid w:val="00343E7B"/>
    <w:rsid w:val="00343F7E"/>
    <w:rsid w:val="003440DC"/>
    <w:rsid w:val="003447D2"/>
    <w:rsid w:val="00346358"/>
    <w:rsid w:val="0034641B"/>
    <w:rsid w:val="0034724F"/>
    <w:rsid w:val="003476D4"/>
    <w:rsid w:val="003479A8"/>
    <w:rsid w:val="00350040"/>
    <w:rsid w:val="00350170"/>
    <w:rsid w:val="00350391"/>
    <w:rsid w:val="0035069F"/>
    <w:rsid w:val="00350B78"/>
    <w:rsid w:val="00350D94"/>
    <w:rsid w:val="0035240A"/>
    <w:rsid w:val="003527EF"/>
    <w:rsid w:val="003532D8"/>
    <w:rsid w:val="00353328"/>
    <w:rsid w:val="003533E0"/>
    <w:rsid w:val="00355278"/>
    <w:rsid w:val="0035547F"/>
    <w:rsid w:val="003558E0"/>
    <w:rsid w:val="00357920"/>
    <w:rsid w:val="00357B1D"/>
    <w:rsid w:val="00357C7D"/>
    <w:rsid w:val="00357F1A"/>
    <w:rsid w:val="00360254"/>
    <w:rsid w:val="00360C85"/>
    <w:rsid w:val="00361877"/>
    <w:rsid w:val="003619A6"/>
    <w:rsid w:val="00361CEE"/>
    <w:rsid w:val="00361CF2"/>
    <w:rsid w:val="003628F9"/>
    <w:rsid w:val="00362EC2"/>
    <w:rsid w:val="003643CB"/>
    <w:rsid w:val="003644C9"/>
    <w:rsid w:val="003646C5"/>
    <w:rsid w:val="00364871"/>
    <w:rsid w:val="00364C3E"/>
    <w:rsid w:val="00365504"/>
    <w:rsid w:val="003658A1"/>
    <w:rsid w:val="003658F4"/>
    <w:rsid w:val="003706C7"/>
    <w:rsid w:val="0037077C"/>
    <w:rsid w:val="0037117B"/>
    <w:rsid w:val="0037153D"/>
    <w:rsid w:val="00371D9B"/>
    <w:rsid w:val="00372407"/>
    <w:rsid w:val="00372958"/>
    <w:rsid w:val="003729C1"/>
    <w:rsid w:val="00372E68"/>
    <w:rsid w:val="0037437A"/>
    <w:rsid w:val="0037439F"/>
    <w:rsid w:val="00374D59"/>
    <w:rsid w:val="00374EA9"/>
    <w:rsid w:val="00375BBB"/>
    <w:rsid w:val="00376113"/>
    <w:rsid w:val="00376253"/>
    <w:rsid w:val="003762F9"/>
    <w:rsid w:val="00376C14"/>
    <w:rsid w:val="00376D72"/>
    <w:rsid w:val="00381673"/>
    <w:rsid w:val="00381A92"/>
    <w:rsid w:val="0038388E"/>
    <w:rsid w:val="003838FB"/>
    <w:rsid w:val="00383BA5"/>
    <w:rsid w:val="0038412A"/>
    <w:rsid w:val="00384FF3"/>
    <w:rsid w:val="0038515F"/>
    <w:rsid w:val="003851D3"/>
    <w:rsid w:val="00385A6D"/>
    <w:rsid w:val="0038645E"/>
    <w:rsid w:val="00386AA0"/>
    <w:rsid w:val="00387874"/>
    <w:rsid w:val="00387DDE"/>
    <w:rsid w:val="003907B0"/>
    <w:rsid w:val="003907B8"/>
    <w:rsid w:val="00390B4B"/>
    <w:rsid w:val="003917EC"/>
    <w:rsid w:val="00392397"/>
    <w:rsid w:val="00392A41"/>
    <w:rsid w:val="003937DD"/>
    <w:rsid w:val="00394406"/>
    <w:rsid w:val="00394538"/>
    <w:rsid w:val="00395263"/>
    <w:rsid w:val="003955F9"/>
    <w:rsid w:val="00395716"/>
    <w:rsid w:val="00395A4B"/>
    <w:rsid w:val="00395C78"/>
    <w:rsid w:val="00395E06"/>
    <w:rsid w:val="003962C9"/>
    <w:rsid w:val="00396615"/>
    <w:rsid w:val="0039683E"/>
    <w:rsid w:val="003976EB"/>
    <w:rsid w:val="00397EE9"/>
    <w:rsid w:val="003A0526"/>
    <w:rsid w:val="003A098B"/>
    <w:rsid w:val="003A1371"/>
    <w:rsid w:val="003A1B4B"/>
    <w:rsid w:val="003A249C"/>
    <w:rsid w:val="003A24FD"/>
    <w:rsid w:val="003A2A61"/>
    <w:rsid w:val="003A3135"/>
    <w:rsid w:val="003A36B4"/>
    <w:rsid w:val="003A3939"/>
    <w:rsid w:val="003A4726"/>
    <w:rsid w:val="003A4BD5"/>
    <w:rsid w:val="003A4E6F"/>
    <w:rsid w:val="003A539A"/>
    <w:rsid w:val="003B009D"/>
    <w:rsid w:val="003B0115"/>
    <w:rsid w:val="003B09F6"/>
    <w:rsid w:val="003B0C0A"/>
    <w:rsid w:val="003B0D6A"/>
    <w:rsid w:val="003B3813"/>
    <w:rsid w:val="003B3D02"/>
    <w:rsid w:val="003B46B6"/>
    <w:rsid w:val="003B49B8"/>
    <w:rsid w:val="003B4F0A"/>
    <w:rsid w:val="003B4FE6"/>
    <w:rsid w:val="003B5416"/>
    <w:rsid w:val="003B545B"/>
    <w:rsid w:val="003B5B91"/>
    <w:rsid w:val="003B6EC4"/>
    <w:rsid w:val="003B77A3"/>
    <w:rsid w:val="003B784C"/>
    <w:rsid w:val="003C0246"/>
    <w:rsid w:val="003C02FB"/>
    <w:rsid w:val="003C0CB1"/>
    <w:rsid w:val="003C0E36"/>
    <w:rsid w:val="003C0E8B"/>
    <w:rsid w:val="003C17EA"/>
    <w:rsid w:val="003C1CD4"/>
    <w:rsid w:val="003C342B"/>
    <w:rsid w:val="003C3EB3"/>
    <w:rsid w:val="003C42C2"/>
    <w:rsid w:val="003C47E6"/>
    <w:rsid w:val="003C4BEF"/>
    <w:rsid w:val="003C5144"/>
    <w:rsid w:val="003C5653"/>
    <w:rsid w:val="003C6081"/>
    <w:rsid w:val="003C63BD"/>
    <w:rsid w:val="003C6A62"/>
    <w:rsid w:val="003C7129"/>
    <w:rsid w:val="003C7714"/>
    <w:rsid w:val="003C7DAD"/>
    <w:rsid w:val="003D019F"/>
    <w:rsid w:val="003D0978"/>
    <w:rsid w:val="003D1718"/>
    <w:rsid w:val="003D2714"/>
    <w:rsid w:val="003D2A9A"/>
    <w:rsid w:val="003D2E20"/>
    <w:rsid w:val="003D38AF"/>
    <w:rsid w:val="003D4A5F"/>
    <w:rsid w:val="003D4D78"/>
    <w:rsid w:val="003D610E"/>
    <w:rsid w:val="003D6870"/>
    <w:rsid w:val="003D6F97"/>
    <w:rsid w:val="003D7BB6"/>
    <w:rsid w:val="003D7F23"/>
    <w:rsid w:val="003E0000"/>
    <w:rsid w:val="003E0300"/>
    <w:rsid w:val="003E1511"/>
    <w:rsid w:val="003E1851"/>
    <w:rsid w:val="003E1B0D"/>
    <w:rsid w:val="003E3EC2"/>
    <w:rsid w:val="003E4165"/>
    <w:rsid w:val="003E5B0F"/>
    <w:rsid w:val="003E6927"/>
    <w:rsid w:val="003E6991"/>
    <w:rsid w:val="003E6C5D"/>
    <w:rsid w:val="003E7313"/>
    <w:rsid w:val="003E73B3"/>
    <w:rsid w:val="003E7E29"/>
    <w:rsid w:val="003F1003"/>
    <w:rsid w:val="003F1714"/>
    <w:rsid w:val="003F1755"/>
    <w:rsid w:val="003F1BFD"/>
    <w:rsid w:val="003F1CA8"/>
    <w:rsid w:val="003F2C2D"/>
    <w:rsid w:val="003F2EF3"/>
    <w:rsid w:val="003F43D7"/>
    <w:rsid w:val="003F5DA7"/>
    <w:rsid w:val="003F5F84"/>
    <w:rsid w:val="003F6305"/>
    <w:rsid w:val="003F642B"/>
    <w:rsid w:val="003F72C0"/>
    <w:rsid w:val="003F7BF1"/>
    <w:rsid w:val="00400CEE"/>
    <w:rsid w:val="00401D53"/>
    <w:rsid w:val="00402429"/>
    <w:rsid w:val="004037C3"/>
    <w:rsid w:val="004041EE"/>
    <w:rsid w:val="00404328"/>
    <w:rsid w:val="0040444E"/>
    <w:rsid w:val="00404757"/>
    <w:rsid w:val="00404982"/>
    <w:rsid w:val="00404A1F"/>
    <w:rsid w:val="00405220"/>
    <w:rsid w:val="00405535"/>
    <w:rsid w:val="004057E1"/>
    <w:rsid w:val="00405BDE"/>
    <w:rsid w:val="00405EEC"/>
    <w:rsid w:val="0040641B"/>
    <w:rsid w:val="004064A7"/>
    <w:rsid w:val="004078CA"/>
    <w:rsid w:val="00410058"/>
    <w:rsid w:val="00410578"/>
    <w:rsid w:val="00411063"/>
    <w:rsid w:val="00411E8D"/>
    <w:rsid w:val="004127E8"/>
    <w:rsid w:val="00413329"/>
    <w:rsid w:val="00413338"/>
    <w:rsid w:val="00416979"/>
    <w:rsid w:val="0041724A"/>
    <w:rsid w:val="0041745D"/>
    <w:rsid w:val="00417644"/>
    <w:rsid w:val="00417AE3"/>
    <w:rsid w:val="00417BAB"/>
    <w:rsid w:val="00417CA5"/>
    <w:rsid w:val="004207FA"/>
    <w:rsid w:val="00420E4F"/>
    <w:rsid w:val="0042132C"/>
    <w:rsid w:val="00421C02"/>
    <w:rsid w:val="00421D08"/>
    <w:rsid w:val="00422590"/>
    <w:rsid w:val="00422DD0"/>
    <w:rsid w:val="00422EA0"/>
    <w:rsid w:val="0042433F"/>
    <w:rsid w:val="00424399"/>
    <w:rsid w:val="0042453D"/>
    <w:rsid w:val="00424D00"/>
    <w:rsid w:val="00424F73"/>
    <w:rsid w:val="0042506A"/>
    <w:rsid w:val="00425900"/>
    <w:rsid w:val="00425A0D"/>
    <w:rsid w:val="00427D34"/>
    <w:rsid w:val="004319E3"/>
    <w:rsid w:val="00432456"/>
    <w:rsid w:val="00433161"/>
    <w:rsid w:val="00433805"/>
    <w:rsid w:val="004338B5"/>
    <w:rsid w:val="00434CBA"/>
    <w:rsid w:val="00434F99"/>
    <w:rsid w:val="00435D49"/>
    <w:rsid w:val="00436A69"/>
    <w:rsid w:val="00436CF5"/>
    <w:rsid w:val="004377A3"/>
    <w:rsid w:val="00437FED"/>
    <w:rsid w:val="004400A5"/>
    <w:rsid w:val="004404B6"/>
    <w:rsid w:val="00440F0B"/>
    <w:rsid w:val="00441291"/>
    <w:rsid w:val="00441BD7"/>
    <w:rsid w:val="00441CC8"/>
    <w:rsid w:val="00442C8E"/>
    <w:rsid w:val="00442FDB"/>
    <w:rsid w:val="004431E8"/>
    <w:rsid w:val="00444A27"/>
    <w:rsid w:val="00445CED"/>
    <w:rsid w:val="0044642B"/>
    <w:rsid w:val="004464A7"/>
    <w:rsid w:val="00446939"/>
    <w:rsid w:val="00446CC5"/>
    <w:rsid w:val="00447760"/>
    <w:rsid w:val="00447F2D"/>
    <w:rsid w:val="00450021"/>
    <w:rsid w:val="00450472"/>
    <w:rsid w:val="00450BC3"/>
    <w:rsid w:val="00451078"/>
    <w:rsid w:val="004514B2"/>
    <w:rsid w:val="004514B9"/>
    <w:rsid w:val="004518CF"/>
    <w:rsid w:val="00451C51"/>
    <w:rsid w:val="00452178"/>
    <w:rsid w:val="0045227C"/>
    <w:rsid w:val="004527BA"/>
    <w:rsid w:val="00452DBB"/>
    <w:rsid w:val="004538F4"/>
    <w:rsid w:val="00453C55"/>
    <w:rsid w:val="00454E7F"/>
    <w:rsid w:val="00454FD0"/>
    <w:rsid w:val="00455302"/>
    <w:rsid w:val="00455E2D"/>
    <w:rsid w:val="00456053"/>
    <w:rsid w:val="00456264"/>
    <w:rsid w:val="00457173"/>
    <w:rsid w:val="00457311"/>
    <w:rsid w:val="00457844"/>
    <w:rsid w:val="00457C21"/>
    <w:rsid w:val="00460A84"/>
    <w:rsid w:val="00461815"/>
    <w:rsid w:val="00462CAF"/>
    <w:rsid w:val="00462CF3"/>
    <w:rsid w:val="00463181"/>
    <w:rsid w:val="004639F4"/>
    <w:rsid w:val="00464596"/>
    <w:rsid w:val="00464A22"/>
    <w:rsid w:val="00465583"/>
    <w:rsid w:val="00465905"/>
    <w:rsid w:val="00465A4E"/>
    <w:rsid w:val="0046601F"/>
    <w:rsid w:val="00466B02"/>
    <w:rsid w:val="00466B3B"/>
    <w:rsid w:val="00466EDC"/>
    <w:rsid w:val="0046796F"/>
    <w:rsid w:val="004679D1"/>
    <w:rsid w:val="00467F9B"/>
    <w:rsid w:val="00470062"/>
    <w:rsid w:val="00470CD5"/>
    <w:rsid w:val="00470F71"/>
    <w:rsid w:val="00471875"/>
    <w:rsid w:val="004718F2"/>
    <w:rsid w:val="00472927"/>
    <w:rsid w:val="00474D88"/>
    <w:rsid w:val="00474E35"/>
    <w:rsid w:val="004752CB"/>
    <w:rsid w:val="00475AF3"/>
    <w:rsid w:val="00475FC1"/>
    <w:rsid w:val="00476555"/>
    <w:rsid w:val="0047666C"/>
    <w:rsid w:val="00476BC8"/>
    <w:rsid w:val="0047723D"/>
    <w:rsid w:val="0048020A"/>
    <w:rsid w:val="00481DC9"/>
    <w:rsid w:val="00483073"/>
    <w:rsid w:val="004839FA"/>
    <w:rsid w:val="00484632"/>
    <w:rsid w:val="00484765"/>
    <w:rsid w:val="00485170"/>
    <w:rsid w:val="004853B2"/>
    <w:rsid w:val="004857B6"/>
    <w:rsid w:val="00486494"/>
    <w:rsid w:val="004865DA"/>
    <w:rsid w:val="004868D4"/>
    <w:rsid w:val="00486BC2"/>
    <w:rsid w:val="00486D63"/>
    <w:rsid w:val="00487232"/>
    <w:rsid w:val="00487B96"/>
    <w:rsid w:val="0049142A"/>
    <w:rsid w:val="004914EC"/>
    <w:rsid w:val="004926D6"/>
    <w:rsid w:val="00493E1F"/>
    <w:rsid w:val="00493E42"/>
    <w:rsid w:val="0049464F"/>
    <w:rsid w:val="0049546C"/>
    <w:rsid w:val="00495F94"/>
    <w:rsid w:val="004978A7"/>
    <w:rsid w:val="004A0E1F"/>
    <w:rsid w:val="004A2328"/>
    <w:rsid w:val="004A234E"/>
    <w:rsid w:val="004A3D28"/>
    <w:rsid w:val="004A4575"/>
    <w:rsid w:val="004A5409"/>
    <w:rsid w:val="004A58DA"/>
    <w:rsid w:val="004A5A1E"/>
    <w:rsid w:val="004A5CD3"/>
    <w:rsid w:val="004A70AA"/>
    <w:rsid w:val="004A7526"/>
    <w:rsid w:val="004A762F"/>
    <w:rsid w:val="004A7823"/>
    <w:rsid w:val="004A7A28"/>
    <w:rsid w:val="004B0472"/>
    <w:rsid w:val="004B04A3"/>
    <w:rsid w:val="004B0BA1"/>
    <w:rsid w:val="004B165A"/>
    <w:rsid w:val="004B1A22"/>
    <w:rsid w:val="004B1A8B"/>
    <w:rsid w:val="004B1E6F"/>
    <w:rsid w:val="004B33A9"/>
    <w:rsid w:val="004B3AA7"/>
    <w:rsid w:val="004B3CC7"/>
    <w:rsid w:val="004B4615"/>
    <w:rsid w:val="004B46AB"/>
    <w:rsid w:val="004B52DA"/>
    <w:rsid w:val="004B55AF"/>
    <w:rsid w:val="004B5926"/>
    <w:rsid w:val="004B597A"/>
    <w:rsid w:val="004B673A"/>
    <w:rsid w:val="004B6FEB"/>
    <w:rsid w:val="004B722D"/>
    <w:rsid w:val="004B7CC0"/>
    <w:rsid w:val="004C0744"/>
    <w:rsid w:val="004C09B2"/>
    <w:rsid w:val="004C1AF0"/>
    <w:rsid w:val="004C2453"/>
    <w:rsid w:val="004C4126"/>
    <w:rsid w:val="004C4F73"/>
    <w:rsid w:val="004C5E12"/>
    <w:rsid w:val="004C65AE"/>
    <w:rsid w:val="004C7C00"/>
    <w:rsid w:val="004C7DB5"/>
    <w:rsid w:val="004D0681"/>
    <w:rsid w:val="004D0926"/>
    <w:rsid w:val="004D0A84"/>
    <w:rsid w:val="004D0D05"/>
    <w:rsid w:val="004D0D7A"/>
    <w:rsid w:val="004D12A7"/>
    <w:rsid w:val="004D12CB"/>
    <w:rsid w:val="004D139A"/>
    <w:rsid w:val="004D27D6"/>
    <w:rsid w:val="004D3A0A"/>
    <w:rsid w:val="004D42C7"/>
    <w:rsid w:val="004D43F2"/>
    <w:rsid w:val="004D4FE8"/>
    <w:rsid w:val="004D5FC9"/>
    <w:rsid w:val="004D6DE5"/>
    <w:rsid w:val="004D70FB"/>
    <w:rsid w:val="004D7186"/>
    <w:rsid w:val="004D72C4"/>
    <w:rsid w:val="004D774A"/>
    <w:rsid w:val="004D7879"/>
    <w:rsid w:val="004E1706"/>
    <w:rsid w:val="004E1813"/>
    <w:rsid w:val="004E1DE7"/>
    <w:rsid w:val="004E498D"/>
    <w:rsid w:val="004E4AEC"/>
    <w:rsid w:val="004E5D34"/>
    <w:rsid w:val="004E5EDD"/>
    <w:rsid w:val="004E76D3"/>
    <w:rsid w:val="004F0416"/>
    <w:rsid w:val="004F0579"/>
    <w:rsid w:val="004F0756"/>
    <w:rsid w:val="004F14EE"/>
    <w:rsid w:val="004F1B1A"/>
    <w:rsid w:val="004F1D88"/>
    <w:rsid w:val="004F22CC"/>
    <w:rsid w:val="004F2CDD"/>
    <w:rsid w:val="004F36C2"/>
    <w:rsid w:val="004F382E"/>
    <w:rsid w:val="004F48EA"/>
    <w:rsid w:val="004F54EF"/>
    <w:rsid w:val="004F56B6"/>
    <w:rsid w:val="004F581B"/>
    <w:rsid w:val="004F5900"/>
    <w:rsid w:val="004F5ACB"/>
    <w:rsid w:val="004F5B43"/>
    <w:rsid w:val="004F6824"/>
    <w:rsid w:val="004F682D"/>
    <w:rsid w:val="004F6FF3"/>
    <w:rsid w:val="00500280"/>
    <w:rsid w:val="00500A27"/>
    <w:rsid w:val="00500ACE"/>
    <w:rsid w:val="00500F17"/>
    <w:rsid w:val="00501362"/>
    <w:rsid w:val="00501B08"/>
    <w:rsid w:val="0050216F"/>
    <w:rsid w:val="00502595"/>
    <w:rsid w:val="005027AD"/>
    <w:rsid w:val="00502811"/>
    <w:rsid w:val="0050335F"/>
    <w:rsid w:val="005036DA"/>
    <w:rsid w:val="00504001"/>
    <w:rsid w:val="00504421"/>
    <w:rsid w:val="00504A69"/>
    <w:rsid w:val="0050734B"/>
    <w:rsid w:val="005076B0"/>
    <w:rsid w:val="0051056C"/>
    <w:rsid w:val="00511465"/>
    <w:rsid w:val="005117B4"/>
    <w:rsid w:val="00511FCA"/>
    <w:rsid w:val="00512450"/>
    <w:rsid w:val="00513C00"/>
    <w:rsid w:val="00514245"/>
    <w:rsid w:val="00514CE7"/>
    <w:rsid w:val="0051520A"/>
    <w:rsid w:val="00516A17"/>
    <w:rsid w:val="005175BB"/>
    <w:rsid w:val="00517BF3"/>
    <w:rsid w:val="005203B3"/>
    <w:rsid w:val="005207C4"/>
    <w:rsid w:val="005210CB"/>
    <w:rsid w:val="0052126A"/>
    <w:rsid w:val="00521686"/>
    <w:rsid w:val="00521C14"/>
    <w:rsid w:val="00522888"/>
    <w:rsid w:val="00523904"/>
    <w:rsid w:val="00523BDF"/>
    <w:rsid w:val="00524831"/>
    <w:rsid w:val="00525BDD"/>
    <w:rsid w:val="00525BE8"/>
    <w:rsid w:val="00525CA6"/>
    <w:rsid w:val="005261BA"/>
    <w:rsid w:val="0052666C"/>
    <w:rsid w:val="0052738D"/>
    <w:rsid w:val="00527793"/>
    <w:rsid w:val="00527B0A"/>
    <w:rsid w:val="00530235"/>
    <w:rsid w:val="00530602"/>
    <w:rsid w:val="00530DB7"/>
    <w:rsid w:val="00531CA8"/>
    <w:rsid w:val="00531EDE"/>
    <w:rsid w:val="0053265C"/>
    <w:rsid w:val="0053278C"/>
    <w:rsid w:val="00533720"/>
    <w:rsid w:val="00534D0D"/>
    <w:rsid w:val="00535351"/>
    <w:rsid w:val="00536200"/>
    <w:rsid w:val="00536603"/>
    <w:rsid w:val="00536806"/>
    <w:rsid w:val="0053720D"/>
    <w:rsid w:val="00537D31"/>
    <w:rsid w:val="00540D0E"/>
    <w:rsid w:val="00541DBC"/>
    <w:rsid w:val="00542705"/>
    <w:rsid w:val="0054361C"/>
    <w:rsid w:val="005439F8"/>
    <w:rsid w:val="00543C0A"/>
    <w:rsid w:val="00544B10"/>
    <w:rsid w:val="00544F0A"/>
    <w:rsid w:val="005455F5"/>
    <w:rsid w:val="00546BBF"/>
    <w:rsid w:val="00546CA8"/>
    <w:rsid w:val="00546DDB"/>
    <w:rsid w:val="00546E7F"/>
    <w:rsid w:val="00550A27"/>
    <w:rsid w:val="005511D8"/>
    <w:rsid w:val="005512C9"/>
    <w:rsid w:val="00551A19"/>
    <w:rsid w:val="00551F20"/>
    <w:rsid w:val="005521C3"/>
    <w:rsid w:val="0055286D"/>
    <w:rsid w:val="00552D3A"/>
    <w:rsid w:val="00553C00"/>
    <w:rsid w:val="00553C7C"/>
    <w:rsid w:val="005546C3"/>
    <w:rsid w:val="00554F22"/>
    <w:rsid w:val="005552A5"/>
    <w:rsid w:val="00555541"/>
    <w:rsid w:val="00555980"/>
    <w:rsid w:val="00555B78"/>
    <w:rsid w:val="00556984"/>
    <w:rsid w:val="00560124"/>
    <w:rsid w:val="00560D96"/>
    <w:rsid w:val="00561913"/>
    <w:rsid w:val="00561CF4"/>
    <w:rsid w:val="0056250C"/>
    <w:rsid w:val="005638B6"/>
    <w:rsid w:val="0056414A"/>
    <w:rsid w:val="0056441C"/>
    <w:rsid w:val="005651F0"/>
    <w:rsid w:val="005653A1"/>
    <w:rsid w:val="00565658"/>
    <w:rsid w:val="00565712"/>
    <w:rsid w:val="00565B6A"/>
    <w:rsid w:val="00566131"/>
    <w:rsid w:val="005668BB"/>
    <w:rsid w:val="00567399"/>
    <w:rsid w:val="00567AAB"/>
    <w:rsid w:val="00567C25"/>
    <w:rsid w:val="00567D21"/>
    <w:rsid w:val="00567E52"/>
    <w:rsid w:val="005709DB"/>
    <w:rsid w:val="00570B5A"/>
    <w:rsid w:val="00571267"/>
    <w:rsid w:val="00571CD5"/>
    <w:rsid w:val="00573767"/>
    <w:rsid w:val="0057420D"/>
    <w:rsid w:val="00575088"/>
    <w:rsid w:val="00575663"/>
    <w:rsid w:val="00575DBB"/>
    <w:rsid w:val="0057629C"/>
    <w:rsid w:val="005768F3"/>
    <w:rsid w:val="00577247"/>
    <w:rsid w:val="0057773D"/>
    <w:rsid w:val="0058078D"/>
    <w:rsid w:val="0058090F"/>
    <w:rsid w:val="00581146"/>
    <w:rsid w:val="005813CA"/>
    <w:rsid w:val="005819C5"/>
    <w:rsid w:val="00581B2C"/>
    <w:rsid w:val="005837C2"/>
    <w:rsid w:val="005840AE"/>
    <w:rsid w:val="005846D7"/>
    <w:rsid w:val="00584E29"/>
    <w:rsid w:val="00586654"/>
    <w:rsid w:val="00586BA3"/>
    <w:rsid w:val="0058735C"/>
    <w:rsid w:val="00587E80"/>
    <w:rsid w:val="00590644"/>
    <w:rsid w:val="00590BAF"/>
    <w:rsid w:val="0059108E"/>
    <w:rsid w:val="00591F09"/>
    <w:rsid w:val="0059292E"/>
    <w:rsid w:val="00592DC2"/>
    <w:rsid w:val="0059402B"/>
    <w:rsid w:val="0059487C"/>
    <w:rsid w:val="005949F3"/>
    <w:rsid w:val="0059500C"/>
    <w:rsid w:val="005955AA"/>
    <w:rsid w:val="00595917"/>
    <w:rsid w:val="0059594F"/>
    <w:rsid w:val="00597261"/>
    <w:rsid w:val="005973F3"/>
    <w:rsid w:val="0059790C"/>
    <w:rsid w:val="005A0A62"/>
    <w:rsid w:val="005A0FE9"/>
    <w:rsid w:val="005A10E8"/>
    <w:rsid w:val="005A12A4"/>
    <w:rsid w:val="005A160C"/>
    <w:rsid w:val="005A2592"/>
    <w:rsid w:val="005A2F0A"/>
    <w:rsid w:val="005A2F98"/>
    <w:rsid w:val="005A3138"/>
    <w:rsid w:val="005A38DC"/>
    <w:rsid w:val="005A3A6E"/>
    <w:rsid w:val="005A425E"/>
    <w:rsid w:val="005A443C"/>
    <w:rsid w:val="005A46F7"/>
    <w:rsid w:val="005A50C7"/>
    <w:rsid w:val="005A57DE"/>
    <w:rsid w:val="005A5E61"/>
    <w:rsid w:val="005A6158"/>
    <w:rsid w:val="005A6315"/>
    <w:rsid w:val="005A64D0"/>
    <w:rsid w:val="005A6569"/>
    <w:rsid w:val="005A6D8A"/>
    <w:rsid w:val="005A751A"/>
    <w:rsid w:val="005A7C36"/>
    <w:rsid w:val="005A7FC0"/>
    <w:rsid w:val="005B0CF1"/>
    <w:rsid w:val="005B0D9C"/>
    <w:rsid w:val="005B22E5"/>
    <w:rsid w:val="005B4514"/>
    <w:rsid w:val="005B4889"/>
    <w:rsid w:val="005B48B0"/>
    <w:rsid w:val="005B5696"/>
    <w:rsid w:val="005B5BF8"/>
    <w:rsid w:val="005B5E78"/>
    <w:rsid w:val="005B64BE"/>
    <w:rsid w:val="005B6659"/>
    <w:rsid w:val="005B7352"/>
    <w:rsid w:val="005C132E"/>
    <w:rsid w:val="005C1551"/>
    <w:rsid w:val="005C3B66"/>
    <w:rsid w:val="005C50F2"/>
    <w:rsid w:val="005C55C5"/>
    <w:rsid w:val="005C5844"/>
    <w:rsid w:val="005C5F64"/>
    <w:rsid w:val="005C7047"/>
    <w:rsid w:val="005C7173"/>
    <w:rsid w:val="005D0835"/>
    <w:rsid w:val="005D1321"/>
    <w:rsid w:val="005D26AA"/>
    <w:rsid w:val="005D2F57"/>
    <w:rsid w:val="005D3AC8"/>
    <w:rsid w:val="005D4B61"/>
    <w:rsid w:val="005D4D8E"/>
    <w:rsid w:val="005D587A"/>
    <w:rsid w:val="005D6F5F"/>
    <w:rsid w:val="005D7DBC"/>
    <w:rsid w:val="005E0256"/>
    <w:rsid w:val="005E0798"/>
    <w:rsid w:val="005E0C94"/>
    <w:rsid w:val="005E2411"/>
    <w:rsid w:val="005E24C6"/>
    <w:rsid w:val="005E34EB"/>
    <w:rsid w:val="005E3805"/>
    <w:rsid w:val="005E3862"/>
    <w:rsid w:val="005E4BF3"/>
    <w:rsid w:val="005E4CA1"/>
    <w:rsid w:val="005E4F56"/>
    <w:rsid w:val="005E5A37"/>
    <w:rsid w:val="005E5F00"/>
    <w:rsid w:val="005E7C86"/>
    <w:rsid w:val="005F017B"/>
    <w:rsid w:val="005F1A95"/>
    <w:rsid w:val="005F2C76"/>
    <w:rsid w:val="005F3B2C"/>
    <w:rsid w:val="005F3C1E"/>
    <w:rsid w:val="005F3DC9"/>
    <w:rsid w:val="005F4415"/>
    <w:rsid w:val="005F473F"/>
    <w:rsid w:val="005F4FB2"/>
    <w:rsid w:val="005F5130"/>
    <w:rsid w:val="005F5267"/>
    <w:rsid w:val="005F5435"/>
    <w:rsid w:val="005F5A77"/>
    <w:rsid w:val="005F5F63"/>
    <w:rsid w:val="005F6985"/>
    <w:rsid w:val="005F6C13"/>
    <w:rsid w:val="0060099A"/>
    <w:rsid w:val="00600CFD"/>
    <w:rsid w:val="00601FCF"/>
    <w:rsid w:val="0060288E"/>
    <w:rsid w:val="00602E4C"/>
    <w:rsid w:val="006032A2"/>
    <w:rsid w:val="006034BB"/>
    <w:rsid w:val="00603BCB"/>
    <w:rsid w:val="00604E1B"/>
    <w:rsid w:val="006057D1"/>
    <w:rsid w:val="00606A59"/>
    <w:rsid w:val="00606DD5"/>
    <w:rsid w:val="00606F0D"/>
    <w:rsid w:val="00607654"/>
    <w:rsid w:val="0061042F"/>
    <w:rsid w:val="006104C3"/>
    <w:rsid w:val="006114AA"/>
    <w:rsid w:val="006121FF"/>
    <w:rsid w:val="0061277D"/>
    <w:rsid w:val="00612F4E"/>
    <w:rsid w:val="006134CD"/>
    <w:rsid w:val="00613F29"/>
    <w:rsid w:val="00615DF5"/>
    <w:rsid w:val="006166A8"/>
    <w:rsid w:val="0062009E"/>
    <w:rsid w:val="006205A7"/>
    <w:rsid w:val="006207D6"/>
    <w:rsid w:val="00621B28"/>
    <w:rsid w:val="0062214D"/>
    <w:rsid w:val="0062385C"/>
    <w:rsid w:val="006246AF"/>
    <w:rsid w:val="006248DF"/>
    <w:rsid w:val="006249DA"/>
    <w:rsid w:val="00624D97"/>
    <w:rsid w:val="0062552B"/>
    <w:rsid w:val="00625596"/>
    <w:rsid w:val="00626E6D"/>
    <w:rsid w:val="00626EDE"/>
    <w:rsid w:val="00626FC1"/>
    <w:rsid w:val="006272BF"/>
    <w:rsid w:val="00627593"/>
    <w:rsid w:val="00627E4E"/>
    <w:rsid w:val="00627EFB"/>
    <w:rsid w:val="00627F8F"/>
    <w:rsid w:val="00630A40"/>
    <w:rsid w:val="00631C4F"/>
    <w:rsid w:val="00631D0C"/>
    <w:rsid w:val="00631EAF"/>
    <w:rsid w:val="00632D7D"/>
    <w:rsid w:val="00632E19"/>
    <w:rsid w:val="00632EF4"/>
    <w:rsid w:val="00633302"/>
    <w:rsid w:val="0063338F"/>
    <w:rsid w:val="006336AF"/>
    <w:rsid w:val="00633AF1"/>
    <w:rsid w:val="00633F71"/>
    <w:rsid w:val="00634044"/>
    <w:rsid w:val="00634482"/>
    <w:rsid w:val="006359D8"/>
    <w:rsid w:val="00635A30"/>
    <w:rsid w:val="00635D78"/>
    <w:rsid w:val="0063619F"/>
    <w:rsid w:val="00636BEF"/>
    <w:rsid w:val="00636CB0"/>
    <w:rsid w:val="00636E92"/>
    <w:rsid w:val="0063726A"/>
    <w:rsid w:val="006375EC"/>
    <w:rsid w:val="00637CAC"/>
    <w:rsid w:val="0064020C"/>
    <w:rsid w:val="00640509"/>
    <w:rsid w:val="00640CB4"/>
    <w:rsid w:val="00641B96"/>
    <w:rsid w:val="006420CA"/>
    <w:rsid w:val="00642699"/>
    <w:rsid w:val="006433A6"/>
    <w:rsid w:val="006433BC"/>
    <w:rsid w:val="00644155"/>
    <w:rsid w:val="00644835"/>
    <w:rsid w:val="00645A93"/>
    <w:rsid w:val="006466AA"/>
    <w:rsid w:val="00646B14"/>
    <w:rsid w:val="006476B3"/>
    <w:rsid w:val="00651174"/>
    <w:rsid w:val="00652C33"/>
    <w:rsid w:val="006534BB"/>
    <w:rsid w:val="0065361E"/>
    <w:rsid w:val="00653D10"/>
    <w:rsid w:val="00654047"/>
    <w:rsid w:val="006545CC"/>
    <w:rsid w:val="00655ECB"/>
    <w:rsid w:val="00657A7D"/>
    <w:rsid w:val="006611F3"/>
    <w:rsid w:val="0066277A"/>
    <w:rsid w:val="00662FE8"/>
    <w:rsid w:val="00663032"/>
    <w:rsid w:val="006642F6"/>
    <w:rsid w:val="00664E2E"/>
    <w:rsid w:val="00665350"/>
    <w:rsid w:val="006653C1"/>
    <w:rsid w:val="006657FF"/>
    <w:rsid w:val="00665D4A"/>
    <w:rsid w:val="0066623C"/>
    <w:rsid w:val="00666C9E"/>
    <w:rsid w:val="00666E21"/>
    <w:rsid w:val="00667815"/>
    <w:rsid w:val="00667B38"/>
    <w:rsid w:val="00667F6F"/>
    <w:rsid w:val="0067018A"/>
    <w:rsid w:val="0067048F"/>
    <w:rsid w:val="00670742"/>
    <w:rsid w:val="00670E76"/>
    <w:rsid w:val="00670F56"/>
    <w:rsid w:val="00670F7D"/>
    <w:rsid w:val="00671035"/>
    <w:rsid w:val="0067134B"/>
    <w:rsid w:val="00672FA0"/>
    <w:rsid w:val="00673974"/>
    <w:rsid w:val="00673B79"/>
    <w:rsid w:val="00673FC2"/>
    <w:rsid w:val="00674040"/>
    <w:rsid w:val="006744D8"/>
    <w:rsid w:val="00674572"/>
    <w:rsid w:val="00674792"/>
    <w:rsid w:val="006747B0"/>
    <w:rsid w:val="006747B1"/>
    <w:rsid w:val="00674A73"/>
    <w:rsid w:val="006751B6"/>
    <w:rsid w:val="006752D5"/>
    <w:rsid w:val="00675715"/>
    <w:rsid w:val="00675A58"/>
    <w:rsid w:val="006763D7"/>
    <w:rsid w:val="00676E6E"/>
    <w:rsid w:val="006777BA"/>
    <w:rsid w:val="00677CD0"/>
    <w:rsid w:val="00677F91"/>
    <w:rsid w:val="006806B5"/>
    <w:rsid w:val="00680706"/>
    <w:rsid w:val="006807B2"/>
    <w:rsid w:val="00680C56"/>
    <w:rsid w:val="006812DB"/>
    <w:rsid w:val="0068172C"/>
    <w:rsid w:val="00681997"/>
    <w:rsid w:val="006819B6"/>
    <w:rsid w:val="00681C82"/>
    <w:rsid w:val="00682A17"/>
    <w:rsid w:val="00682A79"/>
    <w:rsid w:val="006830A5"/>
    <w:rsid w:val="006840AF"/>
    <w:rsid w:val="00684637"/>
    <w:rsid w:val="00684E74"/>
    <w:rsid w:val="00685529"/>
    <w:rsid w:val="0068582F"/>
    <w:rsid w:val="00685BCA"/>
    <w:rsid w:val="00685E68"/>
    <w:rsid w:val="00687082"/>
    <w:rsid w:val="006870C6"/>
    <w:rsid w:val="00690746"/>
    <w:rsid w:val="00690C86"/>
    <w:rsid w:val="00690E63"/>
    <w:rsid w:val="00691954"/>
    <w:rsid w:val="00691985"/>
    <w:rsid w:val="00691B0E"/>
    <w:rsid w:val="00693D42"/>
    <w:rsid w:val="0069411D"/>
    <w:rsid w:val="006948C6"/>
    <w:rsid w:val="006953CF"/>
    <w:rsid w:val="00695F92"/>
    <w:rsid w:val="00696AA5"/>
    <w:rsid w:val="00696BCD"/>
    <w:rsid w:val="00696F17"/>
    <w:rsid w:val="006976A7"/>
    <w:rsid w:val="006A08E3"/>
    <w:rsid w:val="006A1281"/>
    <w:rsid w:val="006A17B2"/>
    <w:rsid w:val="006A1E81"/>
    <w:rsid w:val="006A222B"/>
    <w:rsid w:val="006A22A3"/>
    <w:rsid w:val="006A31DA"/>
    <w:rsid w:val="006A4252"/>
    <w:rsid w:val="006A4BF5"/>
    <w:rsid w:val="006A4F76"/>
    <w:rsid w:val="006A500F"/>
    <w:rsid w:val="006A5D51"/>
    <w:rsid w:val="006A652B"/>
    <w:rsid w:val="006B0684"/>
    <w:rsid w:val="006B0FCD"/>
    <w:rsid w:val="006B24C6"/>
    <w:rsid w:val="006B24F7"/>
    <w:rsid w:val="006B302A"/>
    <w:rsid w:val="006B30E1"/>
    <w:rsid w:val="006B390E"/>
    <w:rsid w:val="006B4364"/>
    <w:rsid w:val="006B4A2D"/>
    <w:rsid w:val="006B4DDE"/>
    <w:rsid w:val="006B5043"/>
    <w:rsid w:val="006B5648"/>
    <w:rsid w:val="006B6102"/>
    <w:rsid w:val="006B66C1"/>
    <w:rsid w:val="006B6756"/>
    <w:rsid w:val="006B702B"/>
    <w:rsid w:val="006B7CA8"/>
    <w:rsid w:val="006C0853"/>
    <w:rsid w:val="006C0EF9"/>
    <w:rsid w:val="006C13ED"/>
    <w:rsid w:val="006C14B5"/>
    <w:rsid w:val="006C21F1"/>
    <w:rsid w:val="006C2CCD"/>
    <w:rsid w:val="006C2F4C"/>
    <w:rsid w:val="006C3332"/>
    <w:rsid w:val="006C41BA"/>
    <w:rsid w:val="006C4DC4"/>
    <w:rsid w:val="006C5F36"/>
    <w:rsid w:val="006C6052"/>
    <w:rsid w:val="006C672C"/>
    <w:rsid w:val="006C6C90"/>
    <w:rsid w:val="006C720C"/>
    <w:rsid w:val="006D0D94"/>
    <w:rsid w:val="006D157C"/>
    <w:rsid w:val="006D1744"/>
    <w:rsid w:val="006D2985"/>
    <w:rsid w:val="006D2BB8"/>
    <w:rsid w:val="006D3578"/>
    <w:rsid w:val="006D41EB"/>
    <w:rsid w:val="006D4381"/>
    <w:rsid w:val="006D5B87"/>
    <w:rsid w:val="006D62B5"/>
    <w:rsid w:val="006D62F9"/>
    <w:rsid w:val="006D7016"/>
    <w:rsid w:val="006D7724"/>
    <w:rsid w:val="006D7EBE"/>
    <w:rsid w:val="006E0743"/>
    <w:rsid w:val="006E0B5F"/>
    <w:rsid w:val="006E1296"/>
    <w:rsid w:val="006E1458"/>
    <w:rsid w:val="006E1A26"/>
    <w:rsid w:val="006E28EF"/>
    <w:rsid w:val="006E2DFB"/>
    <w:rsid w:val="006E3FA2"/>
    <w:rsid w:val="006E40B4"/>
    <w:rsid w:val="006E4DD9"/>
    <w:rsid w:val="006E6043"/>
    <w:rsid w:val="006E63B1"/>
    <w:rsid w:val="006E6776"/>
    <w:rsid w:val="006E6893"/>
    <w:rsid w:val="006E735C"/>
    <w:rsid w:val="006E7F65"/>
    <w:rsid w:val="006F06CC"/>
    <w:rsid w:val="006F0DA6"/>
    <w:rsid w:val="006F102C"/>
    <w:rsid w:val="006F244E"/>
    <w:rsid w:val="006F3286"/>
    <w:rsid w:val="006F3C13"/>
    <w:rsid w:val="006F3DB9"/>
    <w:rsid w:val="006F414B"/>
    <w:rsid w:val="006F4265"/>
    <w:rsid w:val="006F47DF"/>
    <w:rsid w:val="006F4EED"/>
    <w:rsid w:val="006F570F"/>
    <w:rsid w:val="006F6737"/>
    <w:rsid w:val="006F6B8D"/>
    <w:rsid w:val="006F6BA2"/>
    <w:rsid w:val="0070038B"/>
    <w:rsid w:val="00700BB7"/>
    <w:rsid w:val="00701567"/>
    <w:rsid w:val="00701C43"/>
    <w:rsid w:val="0070224C"/>
    <w:rsid w:val="00702741"/>
    <w:rsid w:val="00702CD9"/>
    <w:rsid w:val="00704342"/>
    <w:rsid w:val="00704618"/>
    <w:rsid w:val="0070489D"/>
    <w:rsid w:val="00706510"/>
    <w:rsid w:val="007067D5"/>
    <w:rsid w:val="00707219"/>
    <w:rsid w:val="007073CA"/>
    <w:rsid w:val="00707F3D"/>
    <w:rsid w:val="0071084A"/>
    <w:rsid w:val="0071090A"/>
    <w:rsid w:val="00710F7E"/>
    <w:rsid w:val="007112E6"/>
    <w:rsid w:val="007114AC"/>
    <w:rsid w:val="007114D7"/>
    <w:rsid w:val="00711563"/>
    <w:rsid w:val="00712B4D"/>
    <w:rsid w:val="00712EBB"/>
    <w:rsid w:val="00712EDA"/>
    <w:rsid w:val="0071312D"/>
    <w:rsid w:val="00713C4E"/>
    <w:rsid w:val="00713EB1"/>
    <w:rsid w:val="007141E0"/>
    <w:rsid w:val="00714F68"/>
    <w:rsid w:val="00715F1A"/>
    <w:rsid w:val="00716D4D"/>
    <w:rsid w:val="00717304"/>
    <w:rsid w:val="0071766C"/>
    <w:rsid w:val="00717754"/>
    <w:rsid w:val="0072085F"/>
    <w:rsid w:val="00720A6C"/>
    <w:rsid w:val="00720E1D"/>
    <w:rsid w:val="0072108D"/>
    <w:rsid w:val="00721338"/>
    <w:rsid w:val="00721426"/>
    <w:rsid w:val="007219A3"/>
    <w:rsid w:val="00723746"/>
    <w:rsid w:val="00723A71"/>
    <w:rsid w:val="00723DE5"/>
    <w:rsid w:val="0072408A"/>
    <w:rsid w:val="00724196"/>
    <w:rsid w:val="00724C90"/>
    <w:rsid w:val="0072556A"/>
    <w:rsid w:val="007256EA"/>
    <w:rsid w:val="00725919"/>
    <w:rsid w:val="00725CA7"/>
    <w:rsid w:val="00725CF2"/>
    <w:rsid w:val="007269AA"/>
    <w:rsid w:val="007269EE"/>
    <w:rsid w:val="00727AB2"/>
    <w:rsid w:val="00730486"/>
    <w:rsid w:val="00730FF1"/>
    <w:rsid w:val="0073152E"/>
    <w:rsid w:val="00732954"/>
    <w:rsid w:val="00734C9A"/>
    <w:rsid w:val="00734E47"/>
    <w:rsid w:val="00734ED3"/>
    <w:rsid w:val="00735D25"/>
    <w:rsid w:val="00736584"/>
    <w:rsid w:val="007367AF"/>
    <w:rsid w:val="00736A90"/>
    <w:rsid w:val="007373C1"/>
    <w:rsid w:val="00737BC4"/>
    <w:rsid w:val="00740359"/>
    <w:rsid w:val="007407E6"/>
    <w:rsid w:val="0074087B"/>
    <w:rsid w:val="00740FAB"/>
    <w:rsid w:val="007416A1"/>
    <w:rsid w:val="00741A5F"/>
    <w:rsid w:val="00742C28"/>
    <w:rsid w:val="00742C64"/>
    <w:rsid w:val="00742E26"/>
    <w:rsid w:val="00743480"/>
    <w:rsid w:val="00743695"/>
    <w:rsid w:val="00743A5B"/>
    <w:rsid w:val="00744198"/>
    <w:rsid w:val="00745049"/>
    <w:rsid w:val="0074535F"/>
    <w:rsid w:val="00745928"/>
    <w:rsid w:val="00745BFB"/>
    <w:rsid w:val="0074618D"/>
    <w:rsid w:val="007466F3"/>
    <w:rsid w:val="00750300"/>
    <w:rsid w:val="007509E1"/>
    <w:rsid w:val="00750A61"/>
    <w:rsid w:val="00750EBF"/>
    <w:rsid w:val="00751377"/>
    <w:rsid w:val="007517CD"/>
    <w:rsid w:val="00752064"/>
    <w:rsid w:val="007525BC"/>
    <w:rsid w:val="00752801"/>
    <w:rsid w:val="00754397"/>
    <w:rsid w:val="0075445C"/>
    <w:rsid w:val="00754E4E"/>
    <w:rsid w:val="00754EFF"/>
    <w:rsid w:val="00756366"/>
    <w:rsid w:val="007568D1"/>
    <w:rsid w:val="00756ABB"/>
    <w:rsid w:val="00757AEE"/>
    <w:rsid w:val="00760B68"/>
    <w:rsid w:val="00760B69"/>
    <w:rsid w:val="00760C49"/>
    <w:rsid w:val="0076105B"/>
    <w:rsid w:val="007613D4"/>
    <w:rsid w:val="007620D0"/>
    <w:rsid w:val="00762336"/>
    <w:rsid w:val="007628DC"/>
    <w:rsid w:val="00762A2C"/>
    <w:rsid w:val="00763808"/>
    <w:rsid w:val="00763915"/>
    <w:rsid w:val="00763938"/>
    <w:rsid w:val="00764A65"/>
    <w:rsid w:val="00764BFD"/>
    <w:rsid w:val="007655AA"/>
    <w:rsid w:val="00765C1F"/>
    <w:rsid w:val="00766344"/>
    <w:rsid w:val="00770842"/>
    <w:rsid w:val="007709B7"/>
    <w:rsid w:val="00770B20"/>
    <w:rsid w:val="00770BD2"/>
    <w:rsid w:val="00770E41"/>
    <w:rsid w:val="007714B3"/>
    <w:rsid w:val="0077164B"/>
    <w:rsid w:val="00772221"/>
    <w:rsid w:val="00772851"/>
    <w:rsid w:val="007729E1"/>
    <w:rsid w:val="00772DCF"/>
    <w:rsid w:val="0077312F"/>
    <w:rsid w:val="007737AB"/>
    <w:rsid w:val="00773F3E"/>
    <w:rsid w:val="00773FA9"/>
    <w:rsid w:val="007744EA"/>
    <w:rsid w:val="00774CF8"/>
    <w:rsid w:val="00775572"/>
    <w:rsid w:val="00775790"/>
    <w:rsid w:val="00775944"/>
    <w:rsid w:val="00776D97"/>
    <w:rsid w:val="0077732E"/>
    <w:rsid w:val="007773C2"/>
    <w:rsid w:val="0077782B"/>
    <w:rsid w:val="00777B6E"/>
    <w:rsid w:val="00777BF1"/>
    <w:rsid w:val="007800D8"/>
    <w:rsid w:val="007803F2"/>
    <w:rsid w:val="00780E34"/>
    <w:rsid w:val="007815AC"/>
    <w:rsid w:val="007815D1"/>
    <w:rsid w:val="00781986"/>
    <w:rsid w:val="00781C87"/>
    <w:rsid w:val="00781F49"/>
    <w:rsid w:val="007820CC"/>
    <w:rsid w:val="00782134"/>
    <w:rsid w:val="00783B5B"/>
    <w:rsid w:val="00783CA4"/>
    <w:rsid w:val="00783EE9"/>
    <w:rsid w:val="00784707"/>
    <w:rsid w:val="0078515B"/>
    <w:rsid w:val="007857EC"/>
    <w:rsid w:val="00785A21"/>
    <w:rsid w:val="00785C73"/>
    <w:rsid w:val="00785CCB"/>
    <w:rsid w:val="0078651C"/>
    <w:rsid w:val="00786833"/>
    <w:rsid w:val="00786C7C"/>
    <w:rsid w:val="00786FCB"/>
    <w:rsid w:val="00787EB5"/>
    <w:rsid w:val="007914A4"/>
    <w:rsid w:val="00791FAB"/>
    <w:rsid w:val="00791FD8"/>
    <w:rsid w:val="0079297F"/>
    <w:rsid w:val="00792CD3"/>
    <w:rsid w:val="00792F0A"/>
    <w:rsid w:val="00793213"/>
    <w:rsid w:val="00793663"/>
    <w:rsid w:val="00793833"/>
    <w:rsid w:val="00793AD3"/>
    <w:rsid w:val="00793C7C"/>
    <w:rsid w:val="00793C89"/>
    <w:rsid w:val="007941D6"/>
    <w:rsid w:val="0079437B"/>
    <w:rsid w:val="007952C7"/>
    <w:rsid w:val="007952D5"/>
    <w:rsid w:val="007959CE"/>
    <w:rsid w:val="00797B90"/>
    <w:rsid w:val="007A0006"/>
    <w:rsid w:val="007A04EE"/>
    <w:rsid w:val="007A089E"/>
    <w:rsid w:val="007A1B5E"/>
    <w:rsid w:val="007A1FFE"/>
    <w:rsid w:val="007A26C9"/>
    <w:rsid w:val="007A32E1"/>
    <w:rsid w:val="007A4057"/>
    <w:rsid w:val="007A4C94"/>
    <w:rsid w:val="007A4CB6"/>
    <w:rsid w:val="007A5821"/>
    <w:rsid w:val="007A5F18"/>
    <w:rsid w:val="007A5F37"/>
    <w:rsid w:val="007A6CD9"/>
    <w:rsid w:val="007A7B24"/>
    <w:rsid w:val="007A7D14"/>
    <w:rsid w:val="007A7FB0"/>
    <w:rsid w:val="007B015B"/>
    <w:rsid w:val="007B0D2F"/>
    <w:rsid w:val="007B0D92"/>
    <w:rsid w:val="007B1566"/>
    <w:rsid w:val="007B1FF3"/>
    <w:rsid w:val="007B2F51"/>
    <w:rsid w:val="007B34CF"/>
    <w:rsid w:val="007B413A"/>
    <w:rsid w:val="007B4681"/>
    <w:rsid w:val="007B4787"/>
    <w:rsid w:val="007B59D6"/>
    <w:rsid w:val="007B5BE6"/>
    <w:rsid w:val="007B64AD"/>
    <w:rsid w:val="007B7110"/>
    <w:rsid w:val="007C0845"/>
    <w:rsid w:val="007C08A6"/>
    <w:rsid w:val="007C1159"/>
    <w:rsid w:val="007C187F"/>
    <w:rsid w:val="007C25D0"/>
    <w:rsid w:val="007C27EE"/>
    <w:rsid w:val="007C2F51"/>
    <w:rsid w:val="007C36DF"/>
    <w:rsid w:val="007C3E71"/>
    <w:rsid w:val="007C4456"/>
    <w:rsid w:val="007C50B5"/>
    <w:rsid w:val="007C6C01"/>
    <w:rsid w:val="007C6EB9"/>
    <w:rsid w:val="007C7000"/>
    <w:rsid w:val="007D012B"/>
    <w:rsid w:val="007D0760"/>
    <w:rsid w:val="007D1039"/>
    <w:rsid w:val="007D117B"/>
    <w:rsid w:val="007D1527"/>
    <w:rsid w:val="007D179B"/>
    <w:rsid w:val="007D1FAC"/>
    <w:rsid w:val="007D1FDB"/>
    <w:rsid w:val="007D2BD6"/>
    <w:rsid w:val="007D2EB6"/>
    <w:rsid w:val="007D3585"/>
    <w:rsid w:val="007D397A"/>
    <w:rsid w:val="007D47FE"/>
    <w:rsid w:val="007D4DD6"/>
    <w:rsid w:val="007D4F5B"/>
    <w:rsid w:val="007D5B95"/>
    <w:rsid w:val="007D5E41"/>
    <w:rsid w:val="007D62AE"/>
    <w:rsid w:val="007D746F"/>
    <w:rsid w:val="007E0019"/>
    <w:rsid w:val="007E0C93"/>
    <w:rsid w:val="007E20F5"/>
    <w:rsid w:val="007E2325"/>
    <w:rsid w:val="007E2CDC"/>
    <w:rsid w:val="007E4E41"/>
    <w:rsid w:val="007E5370"/>
    <w:rsid w:val="007E5479"/>
    <w:rsid w:val="007E62F0"/>
    <w:rsid w:val="007E64FF"/>
    <w:rsid w:val="007E69BF"/>
    <w:rsid w:val="007E76CA"/>
    <w:rsid w:val="007E7852"/>
    <w:rsid w:val="007F1A39"/>
    <w:rsid w:val="007F1F9B"/>
    <w:rsid w:val="007F2604"/>
    <w:rsid w:val="007F2F36"/>
    <w:rsid w:val="007F3A75"/>
    <w:rsid w:val="007F452D"/>
    <w:rsid w:val="007F48A4"/>
    <w:rsid w:val="007F5A9A"/>
    <w:rsid w:val="008007BF"/>
    <w:rsid w:val="0080134E"/>
    <w:rsid w:val="0080169F"/>
    <w:rsid w:val="00801AEE"/>
    <w:rsid w:val="00801D54"/>
    <w:rsid w:val="0080221C"/>
    <w:rsid w:val="0080234C"/>
    <w:rsid w:val="0080248F"/>
    <w:rsid w:val="008037FA"/>
    <w:rsid w:val="008059F3"/>
    <w:rsid w:val="00806053"/>
    <w:rsid w:val="00806934"/>
    <w:rsid w:val="00807153"/>
    <w:rsid w:val="00807E0F"/>
    <w:rsid w:val="00810609"/>
    <w:rsid w:val="008106F1"/>
    <w:rsid w:val="008111E6"/>
    <w:rsid w:val="00813118"/>
    <w:rsid w:val="00813934"/>
    <w:rsid w:val="00813D67"/>
    <w:rsid w:val="008144CC"/>
    <w:rsid w:val="00814774"/>
    <w:rsid w:val="00815500"/>
    <w:rsid w:val="00816369"/>
    <w:rsid w:val="008204E5"/>
    <w:rsid w:val="00821294"/>
    <w:rsid w:val="0082168C"/>
    <w:rsid w:val="0082221A"/>
    <w:rsid w:val="00822450"/>
    <w:rsid w:val="00822786"/>
    <w:rsid w:val="00822ACE"/>
    <w:rsid w:val="00822EA5"/>
    <w:rsid w:val="0082360A"/>
    <w:rsid w:val="0082420E"/>
    <w:rsid w:val="008255C6"/>
    <w:rsid w:val="008264BF"/>
    <w:rsid w:val="0082796D"/>
    <w:rsid w:val="00830C08"/>
    <w:rsid w:val="00830DDB"/>
    <w:rsid w:val="0083113E"/>
    <w:rsid w:val="00831695"/>
    <w:rsid w:val="008318F5"/>
    <w:rsid w:val="0083374C"/>
    <w:rsid w:val="00833EBB"/>
    <w:rsid w:val="00834DCF"/>
    <w:rsid w:val="008359C6"/>
    <w:rsid w:val="00835ED9"/>
    <w:rsid w:val="0083790D"/>
    <w:rsid w:val="008404A8"/>
    <w:rsid w:val="008410D1"/>
    <w:rsid w:val="0084117E"/>
    <w:rsid w:val="0084125B"/>
    <w:rsid w:val="008414B3"/>
    <w:rsid w:val="0084177C"/>
    <w:rsid w:val="00841ED0"/>
    <w:rsid w:val="00842061"/>
    <w:rsid w:val="008426DC"/>
    <w:rsid w:val="0084360B"/>
    <w:rsid w:val="00843AF4"/>
    <w:rsid w:val="00843FE4"/>
    <w:rsid w:val="0084425E"/>
    <w:rsid w:val="0084465E"/>
    <w:rsid w:val="00845A15"/>
    <w:rsid w:val="0084636F"/>
    <w:rsid w:val="008465AA"/>
    <w:rsid w:val="0084669E"/>
    <w:rsid w:val="00847A02"/>
    <w:rsid w:val="00847B98"/>
    <w:rsid w:val="008500A8"/>
    <w:rsid w:val="008518EE"/>
    <w:rsid w:val="008523CB"/>
    <w:rsid w:val="00852F09"/>
    <w:rsid w:val="00853282"/>
    <w:rsid w:val="00853408"/>
    <w:rsid w:val="00853913"/>
    <w:rsid w:val="00854B6D"/>
    <w:rsid w:val="00854DD7"/>
    <w:rsid w:val="0085512A"/>
    <w:rsid w:val="008556B1"/>
    <w:rsid w:val="008556D6"/>
    <w:rsid w:val="008558AD"/>
    <w:rsid w:val="00855C2E"/>
    <w:rsid w:val="008568B8"/>
    <w:rsid w:val="00856CB0"/>
    <w:rsid w:val="00856F0E"/>
    <w:rsid w:val="0085700C"/>
    <w:rsid w:val="0085724C"/>
    <w:rsid w:val="0085744C"/>
    <w:rsid w:val="00857749"/>
    <w:rsid w:val="00857894"/>
    <w:rsid w:val="00857A23"/>
    <w:rsid w:val="00860113"/>
    <w:rsid w:val="00860E53"/>
    <w:rsid w:val="00860E8D"/>
    <w:rsid w:val="0086102F"/>
    <w:rsid w:val="00861189"/>
    <w:rsid w:val="00861FFE"/>
    <w:rsid w:val="00862272"/>
    <w:rsid w:val="008627AB"/>
    <w:rsid w:val="00862941"/>
    <w:rsid w:val="00862FE3"/>
    <w:rsid w:val="0086327C"/>
    <w:rsid w:val="00863537"/>
    <w:rsid w:val="00863A9D"/>
    <w:rsid w:val="008643DF"/>
    <w:rsid w:val="00864BC8"/>
    <w:rsid w:val="00864CB0"/>
    <w:rsid w:val="00864EA9"/>
    <w:rsid w:val="008667AC"/>
    <w:rsid w:val="00866EB9"/>
    <w:rsid w:val="008676B1"/>
    <w:rsid w:val="00870DCC"/>
    <w:rsid w:val="00870F0D"/>
    <w:rsid w:val="00872549"/>
    <w:rsid w:val="00872B70"/>
    <w:rsid w:val="00873F58"/>
    <w:rsid w:val="008744BC"/>
    <w:rsid w:val="00874728"/>
    <w:rsid w:val="0087472D"/>
    <w:rsid w:val="00874A7E"/>
    <w:rsid w:val="008773E7"/>
    <w:rsid w:val="00877488"/>
    <w:rsid w:val="00880689"/>
    <w:rsid w:val="00880779"/>
    <w:rsid w:val="00880B2D"/>
    <w:rsid w:val="00880D4B"/>
    <w:rsid w:val="008818ED"/>
    <w:rsid w:val="00882122"/>
    <w:rsid w:val="00882456"/>
    <w:rsid w:val="00882636"/>
    <w:rsid w:val="0088273B"/>
    <w:rsid w:val="00883EA5"/>
    <w:rsid w:val="008845D7"/>
    <w:rsid w:val="00885341"/>
    <w:rsid w:val="00885C4B"/>
    <w:rsid w:val="00886286"/>
    <w:rsid w:val="00886704"/>
    <w:rsid w:val="0088673F"/>
    <w:rsid w:val="0088678E"/>
    <w:rsid w:val="008871AB"/>
    <w:rsid w:val="00887FEE"/>
    <w:rsid w:val="0089020A"/>
    <w:rsid w:val="00890722"/>
    <w:rsid w:val="008912C7"/>
    <w:rsid w:val="008913A5"/>
    <w:rsid w:val="00891833"/>
    <w:rsid w:val="00891DAE"/>
    <w:rsid w:val="008923D3"/>
    <w:rsid w:val="008934BF"/>
    <w:rsid w:val="00893DE5"/>
    <w:rsid w:val="00893E79"/>
    <w:rsid w:val="00894668"/>
    <w:rsid w:val="008948E1"/>
    <w:rsid w:val="008949A8"/>
    <w:rsid w:val="008950FB"/>
    <w:rsid w:val="0089512E"/>
    <w:rsid w:val="0089652C"/>
    <w:rsid w:val="00896DEA"/>
    <w:rsid w:val="0089717D"/>
    <w:rsid w:val="00897851"/>
    <w:rsid w:val="008A0C32"/>
    <w:rsid w:val="008A1778"/>
    <w:rsid w:val="008A19D3"/>
    <w:rsid w:val="008A2092"/>
    <w:rsid w:val="008A28A1"/>
    <w:rsid w:val="008A318B"/>
    <w:rsid w:val="008A3505"/>
    <w:rsid w:val="008A3ABE"/>
    <w:rsid w:val="008A4140"/>
    <w:rsid w:val="008A5452"/>
    <w:rsid w:val="008A550A"/>
    <w:rsid w:val="008A5CF7"/>
    <w:rsid w:val="008A5FB5"/>
    <w:rsid w:val="008A60C1"/>
    <w:rsid w:val="008A613F"/>
    <w:rsid w:val="008A6167"/>
    <w:rsid w:val="008A6345"/>
    <w:rsid w:val="008A6C27"/>
    <w:rsid w:val="008A7284"/>
    <w:rsid w:val="008A74FB"/>
    <w:rsid w:val="008B023B"/>
    <w:rsid w:val="008B0906"/>
    <w:rsid w:val="008B1341"/>
    <w:rsid w:val="008B2F46"/>
    <w:rsid w:val="008B312A"/>
    <w:rsid w:val="008B40E7"/>
    <w:rsid w:val="008B4125"/>
    <w:rsid w:val="008B42B7"/>
    <w:rsid w:val="008B499E"/>
    <w:rsid w:val="008B4F96"/>
    <w:rsid w:val="008B503F"/>
    <w:rsid w:val="008B6BF5"/>
    <w:rsid w:val="008B6DD0"/>
    <w:rsid w:val="008B6F82"/>
    <w:rsid w:val="008B7ED4"/>
    <w:rsid w:val="008C015E"/>
    <w:rsid w:val="008C1127"/>
    <w:rsid w:val="008C1A72"/>
    <w:rsid w:val="008C386C"/>
    <w:rsid w:val="008C39C9"/>
    <w:rsid w:val="008C4435"/>
    <w:rsid w:val="008C5847"/>
    <w:rsid w:val="008C6CFD"/>
    <w:rsid w:val="008C6DEE"/>
    <w:rsid w:val="008C7664"/>
    <w:rsid w:val="008D001F"/>
    <w:rsid w:val="008D04B0"/>
    <w:rsid w:val="008D061C"/>
    <w:rsid w:val="008D0CB8"/>
    <w:rsid w:val="008D0CFA"/>
    <w:rsid w:val="008D0EDB"/>
    <w:rsid w:val="008D11F1"/>
    <w:rsid w:val="008D13CF"/>
    <w:rsid w:val="008D19FF"/>
    <w:rsid w:val="008D1CD6"/>
    <w:rsid w:val="008D3FD1"/>
    <w:rsid w:val="008D43D9"/>
    <w:rsid w:val="008D46B6"/>
    <w:rsid w:val="008D5017"/>
    <w:rsid w:val="008D53BE"/>
    <w:rsid w:val="008D5ACF"/>
    <w:rsid w:val="008D6432"/>
    <w:rsid w:val="008D6888"/>
    <w:rsid w:val="008D6A21"/>
    <w:rsid w:val="008D6BBB"/>
    <w:rsid w:val="008D6F80"/>
    <w:rsid w:val="008D75B6"/>
    <w:rsid w:val="008E0616"/>
    <w:rsid w:val="008E0E59"/>
    <w:rsid w:val="008E0EBD"/>
    <w:rsid w:val="008E15D8"/>
    <w:rsid w:val="008E21BC"/>
    <w:rsid w:val="008E3D0D"/>
    <w:rsid w:val="008E3D24"/>
    <w:rsid w:val="008E3F11"/>
    <w:rsid w:val="008E4399"/>
    <w:rsid w:val="008E4F92"/>
    <w:rsid w:val="008E5B15"/>
    <w:rsid w:val="008E5DBD"/>
    <w:rsid w:val="008E7A56"/>
    <w:rsid w:val="008E7FE6"/>
    <w:rsid w:val="008F0C9C"/>
    <w:rsid w:val="008F0D00"/>
    <w:rsid w:val="008F0E0F"/>
    <w:rsid w:val="008F132F"/>
    <w:rsid w:val="008F1764"/>
    <w:rsid w:val="008F1F82"/>
    <w:rsid w:val="008F3379"/>
    <w:rsid w:val="008F3736"/>
    <w:rsid w:val="008F3870"/>
    <w:rsid w:val="008F3ACB"/>
    <w:rsid w:val="008F433B"/>
    <w:rsid w:val="008F4757"/>
    <w:rsid w:val="008F4D78"/>
    <w:rsid w:val="008F50B9"/>
    <w:rsid w:val="008F7117"/>
    <w:rsid w:val="008F72B9"/>
    <w:rsid w:val="008F7989"/>
    <w:rsid w:val="008F7DC7"/>
    <w:rsid w:val="0090034F"/>
    <w:rsid w:val="009008EC"/>
    <w:rsid w:val="00900FCA"/>
    <w:rsid w:val="00901B83"/>
    <w:rsid w:val="00902257"/>
    <w:rsid w:val="00902258"/>
    <w:rsid w:val="00902FAA"/>
    <w:rsid w:val="0090372D"/>
    <w:rsid w:val="00903FCD"/>
    <w:rsid w:val="0090410E"/>
    <w:rsid w:val="009044A1"/>
    <w:rsid w:val="00905C40"/>
    <w:rsid w:val="009068E4"/>
    <w:rsid w:val="00906C8F"/>
    <w:rsid w:val="00906E61"/>
    <w:rsid w:val="0090708F"/>
    <w:rsid w:val="00907702"/>
    <w:rsid w:val="009078EC"/>
    <w:rsid w:val="00907BDF"/>
    <w:rsid w:val="00910308"/>
    <w:rsid w:val="0091036A"/>
    <w:rsid w:val="00910476"/>
    <w:rsid w:val="00910982"/>
    <w:rsid w:val="00911E7C"/>
    <w:rsid w:val="0091222D"/>
    <w:rsid w:val="00912373"/>
    <w:rsid w:val="009128CC"/>
    <w:rsid w:val="00913698"/>
    <w:rsid w:val="00913C67"/>
    <w:rsid w:val="0091436D"/>
    <w:rsid w:val="009168B0"/>
    <w:rsid w:val="00917740"/>
    <w:rsid w:val="00920157"/>
    <w:rsid w:val="00921069"/>
    <w:rsid w:val="009211A0"/>
    <w:rsid w:val="0092133F"/>
    <w:rsid w:val="00921968"/>
    <w:rsid w:val="00921C32"/>
    <w:rsid w:val="00921C91"/>
    <w:rsid w:val="00921EF8"/>
    <w:rsid w:val="009222FA"/>
    <w:rsid w:val="0092268A"/>
    <w:rsid w:val="00922AF4"/>
    <w:rsid w:val="00923CE9"/>
    <w:rsid w:val="009241A1"/>
    <w:rsid w:val="0092574F"/>
    <w:rsid w:val="00925B8C"/>
    <w:rsid w:val="009269CD"/>
    <w:rsid w:val="009273A9"/>
    <w:rsid w:val="009275C8"/>
    <w:rsid w:val="0092766E"/>
    <w:rsid w:val="00927EE6"/>
    <w:rsid w:val="009329D8"/>
    <w:rsid w:val="009339BE"/>
    <w:rsid w:val="00933C0B"/>
    <w:rsid w:val="0093407F"/>
    <w:rsid w:val="00934416"/>
    <w:rsid w:val="0093446A"/>
    <w:rsid w:val="0093450C"/>
    <w:rsid w:val="00934CA8"/>
    <w:rsid w:val="00935295"/>
    <w:rsid w:val="009358E8"/>
    <w:rsid w:val="00935EC3"/>
    <w:rsid w:val="009369BB"/>
    <w:rsid w:val="00936D4D"/>
    <w:rsid w:val="0093796F"/>
    <w:rsid w:val="00937C78"/>
    <w:rsid w:val="00937CC3"/>
    <w:rsid w:val="00941A0A"/>
    <w:rsid w:val="00941DDC"/>
    <w:rsid w:val="00941DE7"/>
    <w:rsid w:val="00942036"/>
    <w:rsid w:val="00942865"/>
    <w:rsid w:val="00942D0C"/>
    <w:rsid w:val="00942F9C"/>
    <w:rsid w:val="00943A3C"/>
    <w:rsid w:val="00943FC1"/>
    <w:rsid w:val="009442CE"/>
    <w:rsid w:val="0094484D"/>
    <w:rsid w:val="00944964"/>
    <w:rsid w:val="00944C84"/>
    <w:rsid w:val="00944DA7"/>
    <w:rsid w:val="00944F17"/>
    <w:rsid w:val="009457FC"/>
    <w:rsid w:val="00945B6C"/>
    <w:rsid w:val="00945CFF"/>
    <w:rsid w:val="00946496"/>
    <w:rsid w:val="00946A22"/>
    <w:rsid w:val="00946D0A"/>
    <w:rsid w:val="0095174B"/>
    <w:rsid w:val="00952CA1"/>
    <w:rsid w:val="00953810"/>
    <w:rsid w:val="0095393E"/>
    <w:rsid w:val="00953FF1"/>
    <w:rsid w:val="00954212"/>
    <w:rsid w:val="009543BD"/>
    <w:rsid w:val="009563F7"/>
    <w:rsid w:val="00957237"/>
    <w:rsid w:val="00957693"/>
    <w:rsid w:val="00957B83"/>
    <w:rsid w:val="00957D5E"/>
    <w:rsid w:val="00957DF8"/>
    <w:rsid w:val="009605AB"/>
    <w:rsid w:val="00960CFD"/>
    <w:rsid w:val="00962133"/>
    <w:rsid w:val="0096338B"/>
    <w:rsid w:val="0096391B"/>
    <w:rsid w:val="00963B66"/>
    <w:rsid w:val="00963E94"/>
    <w:rsid w:val="00964225"/>
    <w:rsid w:val="009644C0"/>
    <w:rsid w:val="00965134"/>
    <w:rsid w:val="009659D4"/>
    <w:rsid w:val="00966411"/>
    <w:rsid w:val="00967CFA"/>
    <w:rsid w:val="0097049D"/>
    <w:rsid w:val="00970557"/>
    <w:rsid w:val="00970CA7"/>
    <w:rsid w:val="00971A4B"/>
    <w:rsid w:val="00972FE0"/>
    <w:rsid w:val="009749DA"/>
    <w:rsid w:val="00975411"/>
    <w:rsid w:val="00975434"/>
    <w:rsid w:val="0097610C"/>
    <w:rsid w:val="00976B26"/>
    <w:rsid w:val="00977B10"/>
    <w:rsid w:val="00977FDE"/>
    <w:rsid w:val="0098024E"/>
    <w:rsid w:val="009804B8"/>
    <w:rsid w:val="00980E18"/>
    <w:rsid w:val="00982FDA"/>
    <w:rsid w:val="009835E1"/>
    <w:rsid w:val="009838FB"/>
    <w:rsid w:val="00985268"/>
    <w:rsid w:val="0098597D"/>
    <w:rsid w:val="00986716"/>
    <w:rsid w:val="009869FC"/>
    <w:rsid w:val="00986B3E"/>
    <w:rsid w:val="009874B9"/>
    <w:rsid w:val="0098770B"/>
    <w:rsid w:val="0098795B"/>
    <w:rsid w:val="00990BE7"/>
    <w:rsid w:val="00991205"/>
    <w:rsid w:val="00991BC2"/>
    <w:rsid w:val="009921BB"/>
    <w:rsid w:val="00992F6C"/>
    <w:rsid w:val="0099329A"/>
    <w:rsid w:val="00993350"/>
    <w:rsid w:val="009935A0"/>
    <w:rsid w:val="0099417A"/>
    <w:rsid w:val="00995E82"/>
    <w:rsid w:val="00996165"/>
    <w:rsid w:val="00997845"/>
    <w:rsid w:val="00997B68"/>
    <w:rsid w:val="009A36C7"/>
    <w:rsid w:val="009A3FDD"/>
    <w:rsid w:val="009A4D45"/>
    <w:rsid w:val="009A51C7"/>
    <w:rsid w:val="009A577A"/>
    <w:rsid w:val="009A5B9B"/>
    <w:rsid w:val="009A62CE"/>
    <w:rsid w:val="009A63ED"/>
    <w:rsid w:val="009A6551"/>
    <w:rsid w:val="009A69E1"/>
    <w:rsid w:val="009B05D6"/>
    <w:rsid w:val="009B1917"/>
    <w:rsid w:val="009B2ABF"/>
    <w:rsid w:val="009B2BE4"/>
    <w:rsid w:val="009B3962"/>
    <w:rsid w:val="009B3C45"/>
    <w:rsid w:val="009B4634"/>
    <w:rsid w:val="009B4E7F"/>
    <w:rsid w:val="009B4F07"/>
    <w:rsid w:val="009B591B"/>
    <w:rsid w:val="009B5EEB"/>
    <w:rsid w:val="009B6DEA"/>
    <w:rsid w:val="009B6FDF"/>
    <w:rsid w:val="009B7805"/>
    <w:rsid w:val="009B791A"/>
    <w:rsid w:val="009B7E5C"/>
    <w:rsid w:val="009C0600"/>
    <w:rsid w:val="009C0E0D"/>
    <w:rsid w:val="009C0E6E"/>
    <w:rsid w:val="009C1207"/>
    <w:rsid w:val="009C1CC7"/>
    <w:rsid w:val="009C2A61"/>
    <w:rsid w:val="009C3562"/>
    <w:rsid w:val="009C3E96"/>
    <w:rsid w:val="009C59C7"/>
    <w:rsid w:val="009C6731"/>
    <w:rsid w:val="009C746C"/>
    <w:rsid w:val="009C75A1"/>
    <w:rsid w:val="009C7E05"/>
    <w:rsid w:val="009D0AAC"/>
    <w:rsid w:val="009D0DC9"/>
    <w:rsid w:val="009D1FD8"/>
    <w:rsid w:val="009D233B"/>
    <w:rsid w:val="009D26EE"/>
    <w:rsid w:val="009D32AE"/>
    <w:rsid w:val="009D39BE"/>
    <w:rsid w:val="009D3F05"/>
    <w:rsid w:val="009D41C7"/>
    <w:rsid w:val="009D46D5"/>
    <w:rsid w:val="009D494C"/>
    <w:rsid w:val="009D53A0"/>
    <w:rsid w:val="009D6127"/>
    <w:rsid w:val="009D6767"/>
    <w:rsid w:val="009D757A"/>
    <w:rsid w:val="009D75E7"/>
    <w:rsid w:val="009D7BA9"/>
    <w:rsid w:val="009E037F"/>
    <w:rsid w:val="009E0E7B"/>
    <w:rsid w:val="009E1192"/>
    <w:rsid w:val="009E1975"/>
    <w:rsid w:val="009E1CF7"/>
    <w:rsid w:val="009E49F4"/>
    <w:rsid w:val="009E542F"/>
    <w:rsid w:val="009E5C6C"/>
    <w:rsid w:val="009F0078"/>
    <w:rsid w:val="009F02DD"/>
    <w:rsid w:val="009F04B7"/>
    <w:rsid w:val="009F0865"/>
    <w:rsid w:val="009F1ABD"/>
    <w:rsid w:val="009F208D"/>
    <w:rsid w:val="009F21C9"/>
    <w:rsid w:val="009F2F52"/>
    <w:rsid w:val="009F40D5"/>
    <w:rsid w:val="009F5BB5"/>
    <w:rsid w:val="009F5F52"/>
    <w:rsid w:val="009F63B0"/>
    <w:rsid w:val="009F652A"/>
    <w:rsid w:val="009F6B2F"/>
    <w:rsid w:val="009F6F09"/>
    <w:rsid w:val="00A0016B"/>
    <w:rsid w:val="00A001BF"/>
    <w:rsid w:val="00A002FC"/>
    <w:rsid w:val="00A026D9"/>
    <w:rsid w:val="00A02E9B"/>
    <w:rsid w:val="00A02F55"/>
    <w:rsid w:val="00A035CB"/>
    <w:rsid w:val="00A0394E"/>
    <w:rsid w:val="00A03B52"/>
    <w:rsid w:val="00A04709"/>
    <w:rsid w:val="00A04AC7"/>
    <w:rsid w:val="00A05406"/>
    <w:rsid w:val="00A05967"/>
    <w:rsid w:val="00A05A59"/>
    <w:rsid w:val="00A0600A"/>
    <w:rsid w:val="00A066C1"/>
    <w:rsid w:val="00A07340"/>
    <w:rsid w:val="00A1006F"/>
    <w:rsid w:val="00A101BD"/>
    <w:rsid w:val="00A10D2D"/>
    <w:rsid w:val="00A12197"/>
    <w:rsid w:val="00A1225E"/>
    <w:rsid w:val="00A1297F"/>
    <w:rsid w:val="00A12A7E"/>
    <w:rsid w:val="00A13465"/>
    <w:rsid w:val="00A13630"/>
    <w:rsid w:val="00A143E1"/>
    <w:rsid w:val="00A14476"/>
    <w:rsid w:val="00A156A9"/>
    <w:rsid w:val="00A157E9"/>
    <w:rsid w:val="00A15EEF"/>
    <w:rsid w:val="00A16D36"/>
    <w:rsid w:val="00A16DE8"/>
    <w:rsid w:val="00A17143"/>
    <w:rsid w:val="00A173CF"/>
    <w:rsid w:val="00A17FCD"/>
    <w:rsid w:val="00A17FFB"/>
    <w:rsid w:val="00A201AC"/>
    <w:rsid w:val="00A20CCD"/>
    <w:rsid w:val="00A210BC"/>
    <w:rsid w:val="00A21B0A"/>
    <w:rsid w:val="00A240F9"/>
    <w:rsid w:val="00A241F5"/>
    <w:rsid w:val="00A24546"/>
    <w:rsid w:val="00A247A1"/>
    <w:rsid w:val="00A24F7A"/>
    <w:rsid w:val="00A2534B"/>
    <w:rsid w:val="00A253CC"/>
    <w:rsid w:val="00A25677"/>
    <w:rsid w:val="00A25682"/>
    <w:rsid w:val="00A259B0"/>
    <w:rsid w:val="00A25DAB"/>
    <w:rsid w:val="00A26B87"/>
    <w:rsid w:val="00A278F4"/>
    <w:rsid w:val="00A27F4F"/>
    <w:rsid w:val="00A30959"/>
    <w:rsid w:val="00A3103A"/>
    <w:rsid w:val="00A338E9"/>
    <w:rsid w:val="00A33A46"/>
    <w:rsid w:val="00A344ED"/>
    <w:rsid w:val="00A34F1B"/>
    <w:rsid w:val="00A3649F"/>
    <w:rsid w:val="00A36D3B"/>
    <w:rsid w:val="00A37657"/>
    <w:rsid w:val="00A37A8F"/>
    <w:rsid w:val="00A37D76"/>
    <w:rsid w:val="00A402D3"/>
    <w:rsid w:val="00A4032E"/>
    <w:rsid w:val="00A4036A"/>
    <w:rsid w:val="00A419D1"/>
    <w:rsid w:val="00A41AA4"/>
    <w:rsid w:val="00A41E86"/>
    <w:rsid w:val="00A423D8"/>
    <w:rsid w:val="00A42F38"/>
    <w:rsid w:val="00A43B70"/>
    <w:rsid w:val="00A43B9B"/>
    <w:rsid w:val="00A43F8F"/>
    <w:rsid w:val="00A4543C"/>
    <w:rsid w:val="00A45B74"/>
    <w:rsid w:val="00A46F1C"/>
    <w:rsid w:val="00A50427"/>
    <w:rsid w:val="00A506D6"/>
    <w:rsid w:val="00A50C72"/>
    <w:rsid w:val="00A5263C"/>
    <w:rsid w:val="00A52990"/>
    <w:rsid w:val="00A529DE"/>
    <w:rsid w:val="00A52F55"/>
    <w:rsid w:val="00A534AE"/>
    <w:rsid w:val="00A53A34"/>
    <w:rsid w:val="00A53E4F"/>
    <w:rsid w:val="00A54B08"/>
    <w:rsid w:val="00A54B6E"/>
    <w:rsid w:val="00A556D3"/>
    <w:rsid w:val="00A5589F"/>
    <w:rsid w:val="00A55A51"/>
    <w:rsid w:val="00A55CFA"/>
    <w:rsid w:val="00A57534"/>
    <w:rsid w:val="00A611D8"/>
    <w:rsid w:val="00A61B14"/>
    <w:rsid w:val="00A61F3A"/>
    <w:rsid w:val="00A6325E"/>
    <w:rsid w:val="00A63E68"/>
    <w:rsid w:val="00A644E4"/>
    <w:rsid w:val="00A65C16"/>
    <w:rsid w:val="00A65E5C"/>
    <w:rsid w:val="00A66096"/>
    <w:rsid w:val="00A66CFF"/>
    <w:rsid w:val="00A674B0"/>
    <w:rsid w:val="00A67907"/>
    <w:rsid w:val="00A67AFB"/>
    <w:rsid w:val="00A67CB2"/>
    <w:rsid w:val="00A67D8E"/>
    <w:rsid w:val="00A7013E"/>
    <w:rsid w:val="00A70585"/>
    <w:rsid w:val="00A70660"/>
    <w:rsid w:val="00A70A4B"/>
    <w:rsid w:val="00A70F8D"/>
    <w:rsid w:val="00A7261C"/>
    <w:rsid w:val="00A72AB7"/>
    <w:rsid w:val="00A7324C"/>
    <w:rsid w:val="00A741E3"/>
    <w:rsid w:val="00A749D1"/>
    <w:rsid w:val="00A74D40"/>
    <w:rsid w:val="00A7509A"/>
    <w:rsid w:val="00A76D0A"/>
    <w:rsid w:val="00A7775B"/>
    <w:rsid w:val="00A77918"/>
    <w:rsid w:val="00A77AA0"/>
    <w:rsid w:val="00A80137"/>
    <w:rsid w:val="00A80235"/>
    <w:rsid w:val="00A806E5"/>
    <w:rsid w:val="00A80B8D"/>
    <w:rsid w:val="00A81161"/>
    <w:rsid w:val="00A8117C"/>
    <w:rsid w:val="00A81C7C"/>
    <w:rsid w:val="00A81D25"/>
    <w:rsid w:val="00A81E56"/>
    <w:rsid w:val="00A8216C"/>
    <w:rsid w:val="00A82484"/>
    <w:rsid w:val="00A824D1"/>
    <w:rsid w:val="00A82681"/>
    <w:rsid w:val="00A82D37"/>
    <w:rsid w:val="00A8326E"/>
    <w:rsid w:val="00A84194"/>
    <w:rsid w:val="00A845FD"/>
    <w:rsid w:val="00A856C4"/>
    <w:rsid w:val="00A87730"/>
    <w:rsid w:val="00A9003B"/>
    <w:rsid w:val="00A900BF"/>
    <w:rsid w:val="00A90E02"/>
    <w:rsid w:val="00A9113A"/>
    <w:rsid w:val="00A92840"/>
    <w:rsid w:val="00A93257"/>
    <w:rsid w:val="00A9352B"/>
    <w:rsid w:val="00A939E0"/>
    <w:rsid w:val="00A942E0"/>
    <w:rsid w:val="00A94370"/>
    <w:rsid w:val="00A949F6"/>
    <w:rsid w:val="00A94A26"/>
    <w:rsid w:val="00A958BD"/>
    <w:rsid w:val="00A96146"/>
    <w:rsid w:val="00A9689C"/>
    <w:rsid w:val="00A968C7"/>
    <w:rsid w:val="00A96D04"/>
    <w:rsid w:val="00A96DBC"/>
    <w:rsid w:val="00A9757D"/>
    <w:rsid w:val="00A9759A"/>
    <w:rsid w:val="00A97F75"/>
    <w:rsid w:val="00AA09D7"/>
    <w:rsid w:val="00AA163A"/>
    <w:rsid w:val="00AA164C"/>
    <w:rsid w:val="00AA3152"/>
    <w:rsid w:val="00AA4396"/>
    <w:rsid w:val="00AA50BF"/>
    <w:rsid w:val="00AA52EC"/>
    <w:rsid w:val="00AA5687"/>
    <w:rsid w:val="00AA6309"/>
    <w:rsid w:val="00AA67EF"/>
    <w:rsid w:val="00AB07BE"/>
    <w:rsid w:val="00AB08BF"/>
    <w:rsid w:val="00AB099F"/>
    <w:rsid w:val="00AB111F"/>
    <w:rsid w:val="00AB1B35"/>
    <w:rsid w:val="00AB2FAB"/>
    <w:rsid w:val="00AB3E4A"/>
    <w:rsid w:val="00AB4198"/>
    <w:rsid w:val="00AB526D"/>
    <w:rsid w:val="00AB53A1"/>
    <w:rsid w:val="00AB6776"/>
    <w:rsid w:val="00AB6B18"/>
    <w:rsid w:val="00AB6DC3"/>
    <w:rsid w:val="00AB6FF8"/>
    <w:rsid w:val="00AC05FD"/>
    <w:rsid w:val="00AC0EF1"/>
    <w:rsid w:val="00AC12AA"/>
    <w:rsid w:val="00AC2527"/>
    <w:rsid w:val="00AC351F"/>
    <w:rsid w:val="00AC44D5"/>
    <w:rsid w:val="00AC4E56"/>
    <w:rsid w:val="00AC5AC7"/>
    <w:rsid w:val="00AC6687"/>
    <w:rsid w:val="00AC7FA4"/>
    <w:rsid w:val="00AD0486"/>
    <w:rsid w:val="00AD07E9"/>
    <w:rsid w:val="00AD09AE"/>
    <w:rsid w:val="00AD0C16"/>
    <w:rsid w:val="00AD0FA2"/>
    <w:rsid w:val="00AD2B35"/>
    <w:rsid w:val="00AD375A"/>
    <w:rsid w:val="00AD4319"/>
    <w:rsid w:val="00AD4992"/>
    <w:rsid w:val="00AD4AE2"/>
    <w:rsid w:val="00AD4F6C"/>
    <w:rsid w:val="00AD5125"/>
    <w:rsid w:val="00AD5D03"/>
    <w:rsid w:val="00AD6C5B"/>
    <w:rsid w:val="00AD6D5B"/>
    <w:rsid w:val="00AD748D"/>
    <w:rsid w:val="00AE04EF"/>
    <w:rsid w:val="00AE149B"/>
    <w:rsid w:val="00AE1A45"/>
    <w:rsid w:val="00AE2130"/>
    <w:rsid w:val="00AE22C3"/>
    <w:rsid w:val="00AE33DB"/>
    <w:rsid w:val="00AE3405"/>
    <w:rsid w:val="00AE35E3"/>
    <w:rsid w:val="00AE36AD"/>
    <w:rsid w:val="00AE3BDA"/>
    <w:rsid w:val="00AE4066"/>
    <w:rsid w:val="00AE4503"/>
    <w:rsid w:val="00AE4C71"/>
    <w:rsid w:val="00AE4D60"/>
    <w:rsid w:val="00AE522E"/>
    <w:rsid w:val="00AE5556"/>
    <w:rsid w:val="00AE5F45"/>
    <w:rsid w:val="00AE6159"/>
    <w:rsid w:val="00AE6630"/>
    <w:rsid w:val="00AE6B00"/>
    <w:rsid w:val="00AE74A6"/>
    <w:rsid w:val="00AE7DB5"/>
    <w:rsid w:val="00AF0902"/>
    <w:rsid w:val="00AF0CDF"/>
    <w:rsid w:val="00AF1138"/>
    <w:rsid w:val="00AF18A7"/>
    <w:rsid w:val="00AF2516"/>
    <w:rsid w:val="00AF2FD0"/>
    <w:rsid w:val="00AF3C85"/>
    <w:rsid w:val="00AF4669"/>
    <w:rsid w:val="00AF4F5C"/>
    <w:rsid w:val="00AF51A4"/>
    <w:rsid w:val="00AF59EA"/>
    <w:rsid w:val="00AF5CCB"/>
    <w:rsid w:val="00AF6129"/>
    <w:rsid w:val="00AF61AF"/>
    <w:rsid w:val="00AF7220"/>
    <w:rsid w:val="00AF7905"/>
    <w:rsid w:val="00B00313"/>
    <w:rsid w:val="00B009ED"/>
    <w:rsid w:val="00B01037"/>
    <w:rsid w:val="00B014AE"/>
    <w:rsid w:val="00B026C4"/>
    <w:rsid w:val="00B030C2"/>
    <w:rsid w:val="00B039F3"/>
    <w:rsid w:val="00B04193"/>
    <w:rsid w:val="00B0463C"/>
    <w:rsid w:val="00B04DFC"/>
    <w:rsid w:val="00B05B16"/>
    <w:rsid w:val="00B06315"/>
    <w:rsid w:val="00B06A63"/>
    <w:rsid w:val="00B07359"/>
    <w:rsid w:val="00B07737"/>
    <w:rsid w:val="00B104CB"/>
    <w:rsid w:val="00B10EC7"/>
    <w:rsid w:val="00B11AF4"/>
    <w:rsid w:val="00B12974"/>
    <w:rsid w:val="00B12A28"/>
    <w:rsid w:val="00B12DE4"/>
    <w:rsid w:val="00B136E7"/>
    <w:rsid w:val="00B13A78"/>
    <w:rsid w:val="00B1447C"/>
    <w:rsid w:val="00B1471F"/>
    <w:rsid w:val="00B14762"/>
    <w:rsid w:val="00B149DC"/>
    <w:rsid w:val="00B16FF8"/>
    <w:rsid w:val="00B1759E"/>
    <w:rsid w:val="00B17650"/>
    <w:rsid w:val="00B17BA9"/>
    <w:rsid w:val="00B17F93"/>
    <w:rsid w:val="00B200C9"/>
    <w:rsid w:val="00B229D3"/>
    <w:rsid w:val="00B22A7D"/>
    <w:rsid w:val="00B235C3"/>
    <w:rsid w:val="00B2395A"/>
    <w:rsid w:val="00B24834"/>
    <w:rsid w:val="00B24D16"/>
    <w:rsid w:val="00B26132"/>
    <w:rsid w:val="00B2674D"/>
    <w:rsid w:val="00B2721A"/>
    <w:rsid w:val="00B303EF"/>
    <w:rsid w:val="00B30AAB"/>
    <w:rsid w:val="00B30D55"/>
    <w:rsid w:val="00B31513"/>
    <w:rsid w:val="00B3183B"/>
    <w:rsid w:val="00B32A0A"/>
    <w:rsid w:val="00B32DA4"/>
    <w:rsid w:val="00B32DF0"/>
    <w:rsid w:val="00B3341F"/>
    <w:rsid w:val="00B34455"/>
    <w:rsid w:val="00B35270"/>
    <w:rsid w:val="00B352D2"/>
    <w:rsid w:val="00B36B51"/>
    <w:rsid w:val="00B37E05"/>
    <w:rsid w:val="00B40F01"/>
    <w:rsid w:val="00B41725"/>
    <w:rsid w:val="00B41761"/>
    <w:rsid w:val="00B41774"/>
    <w:rsid w:val="00B42B03"/>
    <w:rsid w:val="00B42B76"/>
    <w:rsid w:val="00B4395B"/>
    <w:rsid w:val="00B43A0D"/>
    <w:rsid w:val="00B4422E"/>
    <w:rsid w:val="00B465E3"/>
    <w:rsid w:val="00B467D7"/>
    <w:rsid w:val="00B46F52"/>
    <w:rsid w:val="00B4797E"/>
    <w:rsid w:val="00B505CE"/>
    <w:rsid w:val="00B50D73"/>
    <w:rsid w:val="00B50F68"/>
    <w:rsid w:val="00B5241F"/>
    <w:rsid w:val="00B525D4"/>
    <w:rsid w:val="00B52FED"/>
    <w:rsid w:val="00B530B1"/>
    <w:rsid w:val="00B53580"/>
    <w:rsid w:val="00B542E7"/>
    <w:rsid w:val="00B5441C"/>
    <w:rsid w:val="00B54E32"/>
    <w:rsid w:val="00B55207"/>
    <w:rsid w:val="00B55BD2"/>
    <w:rsid w:val="00B567E6"/>
    <w:rsid w:val="00B56CD2"/>
    <w:rsid w:val="00B5713F"/>
    <w:rsid w:val="00B57512"/>
    <w:rsid w:val="00B61EC4"/>
    <w:rsid w:val="00B62376"/>
    <w:rsid w:val="00B62621"/>
    <w:rsid w:val="00B633DB"/>
    <w:rsid w:val="00B647F3"/>
    <w:rsid w:val="00B64F84"/>
    <w:rsid w:val="00B660B7"/>
    <w:rsid w:val="00B66890"/>
    <w:rsid w:val="00B66A0C"/>
    <w:rsid w:val="00B66B26"/>
    <w:rsid w:val="00B67600"/>
    <w:rsid w:val="00B67E0C"/>
    <w:rsid w:val="00B70A2E"/>
    <w:rsid w:val="00B7180E"/>
    <w:rsid w:val="00B72681"/>
    <w:rsid w:val="00B72A85"/>
    <w:rsid w:val="00B732B3"/>
    <w:rsid w:val="00B738A4"/>
    <w:rsid w:val="00B73EFC"/>
    <w:rsid w:val="00B742C1"/>
    <w:rsid w:val="00B74547"/>
    <w:rsid w:val="00B7455A"/>
    <w:rsid w:val="00B7548F"/>
    <w:rsid w:val="00B75F0B"/>
    <w:rsid w:val="00B76436"/>
    <w:rsid w:val="00B76978"/>
    <w:rsid w:val="00B76C38"/>
    <w:rsid w:val="00B76C6B"/>
    <w:rsid w:val="00B771C3"/>
    <w:rsid w:val="00B772E9"/>
    <w:rsid w:val="00B77443"/>
    <w:rsid w:val="00B775D5"/>
    <w:rsid w:val="00B801DC"/>
    <w:rsid w:val="00B80C08"/>
    <w:rsid w:val="00B83D84"/>
    <w:rsid w:val="00B83EA6"/>
    <w:rsid w:val="00B84303"/>
    <w:rsid w:val="00B84A06"/>
    <w:rsid w:val="00B86364"/>
    <w:rsid w:val="00B8686A"/>
    <w:rsid w:val="00B87788"/>
    <w:rsid w:val="00B879E4"/>
    <w:rsid w:val="00B87EC2"/>
    <w:rsid w:val="00B907BF"/>
    <w:rsid w:val="00B90F8D"/>
    <w:rsid w:val="00B91025"/>
    <w:rsid w:val="00B91A71"/>
    <w:rsid w:val="00B91E66"/>
    <w:rsid w:val="00B92086"/>
    <w:rsid w:val="00B9250A"/>
    <w:rsid w:val="00B928AA"/>
    <w:rsid w:val="00B92E9A"/>
    <w:rsid w:val="00B93294"/>
    <w:rsid w:val="00B9346A"/>
    <w:rsid w:val="00B939DD"/>
    <w:rsid w:val="00B94D75"/>
    <w:rsid w:val="00B94E66"/>
    <w:rsid w:val="00B95338"/>
    <w:rsid w:val="00B95729"/>
    <w:rsid w:val="00B95CE8"/>
    <w:rsid w:val="00B96782"/>
    <w:rsid w:val="00B9708F"/>
    <w:rsid w:val="00B9760F"/>
    <w:rsid w:val="00B97723"/>
    <w:rsid w:val="00B97CC7"/>
    <w:rsid w:val="00BA00B6"/>
    <w:rsid w:val="00BA08E4"/>
    <w:rsid w:val="00BA12EF"/>
    <w:rsid w:val="00BA1D3C"/>
    <w:rsid w:val="00BA217D"/>
    <w:rsid w:val="00BA2545"/>
    <w:rsid w:val="00BA2A2F"/>
    <w:rsid w:val="00BA2BA8"/>
    <w:rsid w:val="00BA371A"/>
    <w:rsid w:val="00BA3A1C"/>
    <w:rsid w:val="00BA3ED9"/>
    <w:rsid w:val="00BA4C90"/>
    <w:rsid w:val="00BA5615"/>
    <w:rsid w:val="00BA619E"/>
    <w:rsid w:val="00BA6732"/>
    <w:rsid w:val="00BA6E32"/>
    <w:rsid w:val="00BA72AA"/>
    <w:rsid w:val="00BA7A3C"/>
    <w:rsid w:val="00BB095F"/>
    <w:rsid w:val="00BB195C"/>
    <w:rsid w:val="00BB1CCA"/>
    <w:rsid w:val="00BB206A"/>
    <w:rsid w:val="00BB21B7"/>
    <w:rsid w:val="00BB2200"/>
    <w:rsid w:val="00BB3929"/>
    <w:rsid w:val="00BB3AD5"/>
    <w:rsid w:val="00BB4650"/>
    <w:rsid w:val="00BB4B5E"/>
    <w:rsid w:val="00BB4DC2"/>
    <w:rsid w:val="00BB5074"/>
    <w:rsid w:val="00BB5639"/>
    <w:rsid w:val="00BB5F3B"/>
    <w:rsid w:val="00BB615E"/>
    <w:rsid w:val="00BB61B1"/>
    <w:rsid w:val="00BB63CE"/>
    <w:rsid w:val="00BB6604"/>
    <w:rsid w:val="00BB74F1"/>
    <w:rsid w:val="00BB7B23"/>
    <w:rsid w:val="00BC00E4"/>
    <w:rsid w:val="00BC04CE"/>
    <w:rsid w:val="00BC1550"/>
    <w:rsid w:val="00BC1967"/>
    <w:rsid w:val="00BC197B"/>
    <w:rsid w:val="00BC1E66"/>
    <w:rsid w:val="00BC2002"/>
    <w:rsid w:val="00BC2313"/>
    <w:rsid w:val="00BC239C"/>
    <w:rsid w:val="00BC23A0"/>
    <w:rsid w:val="00BC2528"/>
    <w:rsid w:val="00BC254C"/>
    <w:rsid w:val="00BC310E"/>
    <w:rsid w:val="00BC34FC"/>
    <w:rsid w:val="00BC3540"/>
    <w:rsid w:val="00BC3BC6"/>
    <w:rsid w:val="00BC45B7"/>
    <w:rsid w:val="00BC4FD7"/>
    <w:rsid w:val="00BC55F5"/>
    <w:rsid w:val="00BC5797"/>
    <w:rsid w:val="00BC633E"/>
    <w:rsid w:val="00BC6C8D"/>
    <w:rsid w:val="00BC6EA7"/>
    <w:rsid w:val="00BC6F6F"/>
    <w:rsid w:val="00BC6FB3"/>
    <w:rsid w:val="00BC76D8"/>
    <w:rsid w:val="00BC7D2A"/>
    <w:rsid w:val="00BD02B0"/>
    <w:rsid w:val="00BD0804"/>
    <w:rsid w:val="00BD25F8"/>
    <w:rsid w:val="00BD29AE"/>
    <w:rsid w:val="00BD3299"/>
    <w:rsid w:val="00BD3E1B"/>
    <w:rsid w:val="00BD3F08"/>
    <w:rsid w:val="00BD44B7"/>
    <w:rsid w:val="00BD4A92"/>
    <w:rsid w:val="00BD527F"/>
    <w:rsid w:val="00BD5712"/>
    <w:rsid w:val="00BD57FA"/>
    <w:rsid w:val="00BD5C8B"/>
    <w:rsid w:val="00BD5DCA"/>
    <w:rsid w:val="00BD5E0F"/>
    <w:rsid w:val="00BE0491"/>
    <w:rsid w:val="00BE04DD"/>
    <w:rsid w:val="00BE072D"/>
    <w:rsid w:val="00BE208E"/>
    <w:rsid w:val="00BE24FB"/>
    <w:rsid w:val="00BE3D2A"/>
    <w:rsid w:val="00BE4767"/>
    <w:rsid w:val="00BE48FB"/>
    <w:rsid w:val="00BE5845"/>
    <w:rsid w:val="00BE5BBB"/>
    <w:rsid w:val="00BE7A07"/>
    <w:rsid w:val="00BF05C2"/>
    <w:rsid w:val="00BF303D"/>
    <w:rsid w:val="00BF323F"/>
    <w:rsid w:val="00BF355E"/>
    <w:rsid w:val="00BF3A76"/>
    <w:rsid w:val="00BF43AB"/>
    <w:rsid w:val="00BF4B37"/>
    <w:rsid w:val="00BF4C9F"/>
    <w:rsid w:val="00BF5537"/>
    <w:rsid w:val="00BF56F9"/>
    <w:rsid w:val="00BF5FFA"/>
    <w:rsid w:val="00BF6038"/>
    <w:rsid w:val="00BF6D9F"/>
    <w:rsid w:val="00C00F5E"/>
    <w:rsid w:val="00C01293"/>
    <w:rsid w:val="00C01767"/>
    <w:rsid w:val="00C01D3A"/>
    <w:rsid w:val="00C031B2"/>
    <w:rsid w:val="00C035E9"/>
    <w:rsid w:val="00C03699"/>
    <w:rsid w:val="00C03725"/>
    <w:rsid w:val="00C04803"/>
    <w:rsid w:val="00C05279"/>
    <w:rsid w:val="00C05433"/>
    <w:rsid w:val="00C06AD2"/>
    <w:rsid w:val="00C06C1F"/>
    <w:rsid w:val="00C07153"/>
    <w:rsid w:val="00C071F7"/>
    <w:rsid w:val="00C07499"/>
    <w:rsid w:val="00C07A6E"/>
    <w:rsid w:val="00C1061F"/>
    <w:rsid w:val="00C11BD4"/>
    <w:rsid w:val="00C11EEA"/>
    <w:rsid w:val="00C12373"/>
    <w:rsid w:val="00C13628"/>
    <w:rsid w:val="00C1423B"/>
    <w:rsid w:val="00C143FC"/>
    <w:rsid w:val="00C14CE0"/>
    <w:rsid w:val="00C157D7"/>
    <w:rsid w:val="00C16C71"/>
    <w:rsid w:val="00C16D0E"/>
    <w:rsid w:val="00C17A07"/>
    <w:rsid w:val="00C17DA4"/>
    <w:rsid w:val="00C200E6"/>
    <w:rsid w:val="00C206AB"/>
    <w:rsid w:val="00C2093A"/>
    <w:rsid w:val="00C222C8"/>
    <w:rsid w:val="00C228D5"/>
    <w:rsid w:val="00C22BD8"/>
    <w:rsid w:val="00C235AD"/>
    <w:rsid w:val="00C23EAA"/>
    <w:rsid w:val="00C2429D"/>
    <w:rsid w:val="00C2588D"/>
    <w:rsid w:val="00C273AC"/>
    <w:rsid w:val="00C27B44"/>
    <w:rsid w:val="00C27D5B"/>
    <w:rsid w:val="00C30067"/>
    <w:rsid w:val="00C301B5"/>
    <w:rsid w:val="00C3099D"/>
    <w:rsid w:val="00C317FF"/>
    <w:rsid w:val="00C32402"/>
    <w:rsid w:val="00C324B7"/>
    <w:rsid w:val="00C325DB"/>
    <w:rsid w:val="00C32D4F"/>
    <w:rsid w:val="00C32EA5"/>
    <w:rsid w:val="00C32FF8"/>
    <w:rsid w:val="00C340FB"/>
    <w:rsid w:val="00C34370"/>
    <w:rsid w:val="00C349BE"/>
    <w:rsid w:val="00C3600A"/>
    <w:rsid w:val="00C36B54"/>
    <w:rsid w:val="00C36DD2"/>
    <w:rsid w:val="00C4053C"/>
    <w:rsid w:val="00C40666"/>
    <w:rsid w:val="00C40C34"/>
    <w:rsid w:val="00C41F97"/>
    <w:rsid w:val="00C42257"/>
    <w:rsid w:val="00C425F9"/>
    <w:rsid w:val="00C43858"/>
    <w:rsid w:val="00C43CC3"/>
    <w:rsid w:val="00C44981"/>
    <w:rsid w:val="00C44B2A"/>
    <w:rsid w:val="00C459BA"/>
    <w:rsid w:val="00C46FE4"/>
    <w:rsid w:val="00C509A2"/>
    <w:rsid w:val="00C518EE"/>
    <w:rsid w:val="00C5224C"/>
    <w:rsid w:val="00C5240B"/>
    <w:rsid w:val="00C527E8"/>
    <w:rsid w:val="00C529AB"/>
    <w:rsid w:val="00C541F1"/>
    <w:rsid w:val="00C54248"/>
    <w:rsid w:val="00C552C1"/>
    <w:rsid w:val="00C55414"/>
    <w:rsid w:val="00C55992"/>
    <w:rsid w:val="00C55F4F"/>
    <w:rsid w:val="00C56755"/>
    <w:rsid w:val="00C57982"/>
    <w:rsid w:val="00C60299"/>
    <w:rsid w:val="00C608EA"/>
    <w:rsid w:val="00C60D51"/>
    <w:rsid w:val="00C610F5"/>
    <w:rsid w:val="00C61164"/>
    <w:rsid w:val="00C611F8"/>
    <w:rsid w:val="00C626B0"/>
    <w:rsid w:val="00C63220"/>
    <w:rsid w:val="00C637F4"/>
    <w:rsid w:val="00C63855"/>
    <w:rsid w:val="00C63C34"/>
    <w:rsid w:val="00C63D2B"/>
    <w:rsid w:val="00C649B2"/>
    <w:rsid w:val="00C65C0E"/>
    <w:rsid w:val="00C672D4"/>
    <w:rsid w:val="00C674D6"/>
    <w:rsid w:val="00C67636"/>
    <w:rsid w:val="00C678BB"/>
    <w:rsid w:val="00C67E3F"/>
    <w:rsid w:val="00C67E49"/>
    <w:rsid w:val="00C7089A"/>
    <w:rsid w:val="00C709BB"/>
    <w:rsid w:val="00C713E0"/>
    <w:rsid w:val="00C7164A"/>
    <w:rsid w:val="00C71822"/>
    <w:rsid w:val="00C7188D"/>
    <w:rsid w:val="00C72746"/>
    <w:rsid w:val="00C729F2"/>
    <w:rsid w:val="00C72DFF"/>
    <w:rsid w:val="00C7314D"/>
    <w:rsid w:val="00C735F9"/>
    <w:rsid w:val="00C739F1"/>
    <w:rsid w:val="00C742E4"/>
    <w:rsid w:val="00C745DF"/>
    <w:rsid w:val="00C74C9C"/>
    <w:rsid w:val="00C7509A"/>
    <w:rsid w:val="00C752A2"/>
    <w:rsid w:val="00C75809"/>
    <w:rsid w:val="00C75905"/>
    <w:rsid w:val="00C7592A"/>
    <w:rsid w:val="00C76984"/>
    <w:rsid w:val="00C76BA4"/>
    <w:rsid w:val="00C8013B"/>
    <w:rsid w:val="00C80419"/>
    <w:rsid w:val="00C80471"/>
    <w:rsid w:val="00C80D41"/>
    <w:rsid w:val="00C81738"/>
    <w:rsid w:val="00C818C8"/>
    <w:rsid w:val="00C81C03"/>
    <w:rsid w:val="00C82162"/>
    <w:rsid w:val="00C8260E"/>
    <w:rsid w:val="00C82F35"/>
    <w:rsid w:val="00C836CF"/>
    <w:rsid w:val="00C8382E"/>
    <w:rsid w:val="00C83E27"/>
    <w:rsid w:val="00C83F92"/>
    <w:rsid w:val="00C845C1"/>
    <w:rsid w:val="00C8502F"/>
    <w:rsid w:val="00C85931"/>
    <w:rsid w:val="00C859D3"/>
    <w:rsid w:val="00C86274"/>
    <w:rsid w:val="00C8639F"/>
    <w:rsid w:val="00C90749"/>
    <w:rsid w:val="00C921D3"/>
    <w:rsid w:val="00C92669"/>
    <w:rsid w:val="00C929E8"/>
    <w:rsid w:val="00C92B4A"/>
    <w:rsid w:val="00C92C00"/>
    <w:rsid w:val="00C93718"/>
    <w:rsid w:val="00C937B7"/>
    <w:rsid w:val="00C94575"/>
    <w:rsid w:val="00C946F5"/>
    <w:rsid w:val="00C94714"/>
    <w:rsid w:val="00C97A4D"/>
    <w:rsid w:val="00C97C30"/>
    <w:rsid w:val="00CA1FF3"/>
    <w:rsid w:val="00CA314C"/>
    <w:rsid w:val="00CA3894"/>
    <w:rsid w:val="00CA49EC"/>
    <w:rsid w:val="00CA528B"/>
    <w:rsid w:val="00CA58FD"/>
    <w:rsid w:val="00CA6334"/>
    <w:rsid w:val="00CA66E7"/>
    <w:rsid w:val="00CA68E6"/>
    <w:rsid w:val="00CA6D1E"/>
    <w:rsid w:val="00CA70F0"/>
    <w:rsid w:val="00CA7461"/>
    <w:rsid w:val="00CA75CD"/>
    <w:rsid w:val="00CA7737"/>
    <w:rsid w:val="00CA7A7F"/>
    <w:rsid w:val="00CA7E33"/>
    <w:rsid w:val="00CB0015"/>
    <w:rsid w:val="00CB0176"/>
    <w:rsid w:val="00CB0306"/>
    <w:rsid w:val="00CB072B"/>
    <w:rsid w:val="00CB10CA"/>
    <w:rsid w:val="00CB12BE"/>
    <w:rsid w:val="00CB15D3"/>
    <w:rsid w:val="00CB1D2E"/>
    <w:rsid w:val="00CB1E86"/>
    <w:rsid w:val="00CB2710"/>
    <w:rsid w:val="00CB2B8D"/>
    <w:rsid w:val="00CB33CE"/>
    <w:rsid w:val="00CB3B3E"/>
    <w:rsid w:val="00CB4065"/>
    <w:rsid w:val="00CB45A6"/>
    <w:rsid w:val="00CB4F90"/>
    <w:rsid w:val="00CB5181"/>
    <w:rsid w:val="00CB554B"/>
    <w:rsid w:val="00CB67CB"/>
    <w:rsid w:val="00CB6B40"/>
    <w:rsid w:val="00CB6CBC"/>
    <w:rsid w:val="00CB7903"/>
    <w:rsid w:val="00CB7928"/>
    <w:rsid w:val="00CC19A8"/>
    <w:rsid w:val="00CC23B7"/>
    <w:rsid w:val="00CC359D"/>
    <w:rsid w:val="00CC3819"/>
    <w:rsid w:val="00CC399C"/>
    <w:rsid w:val="00CC3AA5"/>
    <w:rsid w:val="00CC3F1D"/>
    <w:rsid w:val="00CC42A7"/>
    <w:rsid w:val="00CC446E"/>
    <w:rsid w:val="00CC4990"/>
    <w:rsid w:val="00CC4C3C"/>
    <w:rsid w:val="00CC569D"/>
    <w:rsid w:val="00CC56A7"/>
    <w:rsid w:val="00CC5A83"/>
    <w:rsid w:val="00CC5BA8"/>
    <w:rsid w:val="00CC5BFF"/>
    <w:rsid w:val="00CC69B6"/>
    <w:rsid w:val="00CC6E74"/>
    <w:rsid w:val="00CC6E81"/>
    <w:rsid w:val="00CC799D"/>
    <w:rsid w:val="00CC7C60"/>
    <w:rsid w:val="00CD045D"/>
    <w:rsid w:val="00CD07B5"/>
    <w:rsid w:val="00CD0CA3"/>
    <w:rsid w:val="00CD16FD"/>
    <w:rsid w:val="00CD33AF"/>
    <w:rsid w:val="00CD3545"/>
    <w:rsid w:val="00CD3DB2"/>
    <w:rsid w:val="00CD3DE0"/>
    <w:rsid w:val="00CD3E71"/>
    <w:rsid w:val="00CD41C6"/>
    <w:rsid w:val="00CD41CD"/>
    <w:rsid w:val="00CD47AB"/>
    <w:rsid w:val="00CD4F23"/>
    <w:rsid w:val="00CD5181"/>
    <w:rsid w:val="00CD5FD6"/>
    <w:rsid w:val="00CD6CFC"/>
    <w:rsid w:val="00CD70C9"/>
    <w:rsid w:val="00CD70FD"/>
    <w:rsid w:val="00CE02AD"/>
    <w:rsid w:val="00CE074C"/>
    <w:rsid w:val="00CE0948"/>
    <w:rsid w:val="00CE0CE3"/>
    <w:rsid w:val="00CE0EDC"/>
    <w:rsid w:val="00CE11EA"/>
    <w:rsid w:val="00CE15A9"/>
    <w:rsid w:val="00CE15D3"/>
    <w:rsid w:val="00CE1614"/>
    <w:rsid w:val="00CE1DF3"/>
    <w:rsid w:val="00CE2526"/>
    <w:rsid w:val="00CE3476"/>
    <w:rsid w:val="00CE3691"/>
    <w:rsid w:val="00CE49C0"/>
    <w:rsid w:val="00CE4F3C"/>
    <w:rsid w:val="00CE537D"/>
    <w:rsid w:val="00CE5561"/>
    <w:rsid w:val="00CE6034"/>
    <w:rsid w:val="00CE65EC"/>
    <w:rsid w:val="00CE66E6"/>
    <w:rsid w:val="00CE745C"/>
    <w:rsid w:val="00CE7610"/>
    <w:rsid w:val="00CE7F6C"/>
    <w:rsid w:val="00CF16C7"/>
    <w:rsid w:val="00CF1C78"/>
    <w:rsid w:val="00CF1E52"/>
    <w:rsid w:val="00CF21F9"/>
    <w:rsid w:val="00CF24B0"/>
    <w:rsid w:val="00CF2DAB"/>
    <w:rsid w:val="00CF3648"/>
    <w:rsid w:val="00CF3D15"/>
    <w:rsid w:val="00CF5AF1"/>
    <w:rsid w:val="00CF5D7A"/>
    <w:rsid w:val="00CF7A4B"/>
    <w:rsid w:val="00CF7BEC"/>
    <w:rsid w:val="00CF7D4C"/>
    <w:rsid w:val="00D0080B"/>
    <w:rsid w:val="00D00A26"/>
    <w:rsid w:val="00D00F46"/>
    <w:rsid w:val="00D01003"/>
    <w:rsid w:val="00D019E9"/>
    <w:rsid w:val="00D02482"/>
    <w:rsid w:val="00D02620"/>
    <w:rsid w:val="00D02673"/>
    <w:rsid w:val="00D02725"/>
    <w:rsid w:val="00D03FC7"/>
    <w:rsid w:val="00D04334"/>
    <w:rsid w:val="00D04566"/>
    <w:rsid w:val="00D04C8C"/>
    <w:rsid w:val="00D06ACB"/>
    <w:rsid w:val="00D06BA9"/>
    <w:rsid w:val="00D07905"/>
    <w:rsid w:val="00D07A0D"/>
    <w:rsid w:val="00D07B21"/>
    <w:rsid w:val="00D10A18"/>
    <w:rsid w:val="00D11112"/>
    <w:rsid w:val="00D117A5"/>
    <w:rsid w:val="00D11B85"/>
    <w:rsid w:val="00D13414"/>
    <w:rsid w:val="00D14068"/>
    <w:rsid w:val="00D14113"/>
    <w:rsid w:val="00D14D35"/>
    <w:rsid w:val="00D1590C"/>
    <w:rsid w:val="00D15E0D"/>
    <w:rsid w:val="00D16883"/>
    <w:rsid w:val="00D16B5D"/>
    <w:rsid w:val="00D17556"/>
    <w:rsid w:val="00D20A49"/>
    <w:rsid w:val="00D20E84"/>
    <w:rsid w:val="00D20FF0"/>
    <w:rsid w:val="00D217E4"/>
    <w:rsid w:val="00D21FE8"/>
    <w:rsid w:val="00D22134"/>
    <w:rsid w:val="00D229E2"/>
    <w:rsid w:val="00D237E2"/>
    <w:rsid w:val="00D2481E"/>
    <w:rsid w:val="00D24E60"/>
    <w:rsid w:val="00D25F1D"/>
    <w:rsid w:val="00D26084"/>
    <w:rsid w:val="00D262A0"/>
    <w:rsid w:val="00D26345"/>
    <w:rsid w:val="00D2649D"/>
    <w:rsid w:val="00D27BF8"/>
    <w:rsid w:val="00D27F2B"/>
    <w:rsid w:val="00D3108F"/>
    <w:rsid w:val="00D31244"/>
    <w:rsid w:val="00D320D6"/>
    <w:rsid w:val="00D33865"/>
    <w:rsid w:val="00D339E1"/>
    <w:rsid w:val="00D341BE"/>
    <w:rsid w:val="00D34313"/>
    <w:rsid w:val="00D343B7"/>
    <w:rsid w:val="00D34590"/>
    <w:rsid w:val="00D347CB"/>
    <w:rsid w:val="00D35631"/>
    <w:rsid w:val="00D361D1"/>
    <w:rsid w:val="00D362CE"/>
    <w:rsid w:val="00D36792"/>
    <w:rsid w:val="00D368F3"/>
    <w:rsid w:val="00D36E36"/>
    <w:rsid w:val="00D379C9"/>
    <w:rsid w:val="00D413A0"/>
    <w:rsid w:val="00D42263"/>
    <w:rsid w:val="00D4308C"/>
    <w:rsid w:val="00D4309C"/>
    <w:rsid w:val="00D430BE"/>
    <w:rsid w:val="00D43307"/>
    <w:rsid w:val="00D44329"/>
    <w:rsid w:val="00D44622"/>
    <w:rsid w:val="00D4489F"/>
    <w:rsid w:val="00D4662D"/>
    <w:rsid w:val="00D46C7D"/>
    <w:rsid w:val="00D47370"/>
    <w:rsid w:val="00D476CE"/>
    <w:rsid w:val="00D4773D"/>
    <w:rsid w:val="00D4774E"/>
    <w:rsid w:val="00D47D07"/>
    <w:rsid w:val="00D50774"/>
    <w:rsid w:val="00D50A2D"/>
    <w:rsid w:val="00D50D1E"/>
    <w:rsid w:val="00D50FD2"/>
    <w:rsid w:val="00D51089"/>
    <w:rsid w:val="00D5159B"/>
    <w:rsid w:val="00D5289A"/>
    <w:rsid w:val="00D53C03"/>
    <w:rsid w:val="00D54574"/>
    <w:rsid w:val="00D552CE"/>
    <w:rsid w:val="00D5748D"/>
    <w:rsid w:val="00D57E6C"/>
    <w:rsid w:val="00D610A0"/>
    <w:rsid w:val="00D613B4"/>
    <w:rsid w:val="00D61761"/>
    <w:rsid w:val="00D620EC"/>
    <w:rsid w:val="00D634EC"/>
    <w:rsid w:val="00D63C08"/>
    <w:rsid w:val="00D63E10"/>
    <w:rsid w:val="00D64B78"/>
    <w:rsid w:val="00D64BB7"/>
    <w:rsid w:val="00D66367"/>
    <w:rsid w:val="00D7031F"/>
    <w:rsid w:val="00D708CA"/>
    <w:rsid w:val="00D70B25"/>
    <w:rsid w:val="00D71028"/>
    <w:rsid w:val="00D71387"/>
    <w:rsid w:val="00D71845"/>
    <w:rsid w:val="00D71A85"/>
    <w:rsid w:val="00D724E4"/>
    <w:rsid w:val="00D72644"/>
    <w:rsid w:val="00D73084"/>
    <w:rsid w:val="00D73105"/>
    <w:rsid w:val="00D74737"/>
    <w:rsid w:val="00D7513C"/>
    <w:rsid w:val="00D7581F"/>
    <w:rsid w:val="00D765EE"/>
    <w:rsid w:val="00D76F8C"/>
    <w:rsid w:val="00D8086A"/>
    <w:rsid w:val="00D809F3"/>
    <w:rsid w:val="00D81397"/>
    <w:rsid w:val="00D819C1"/>
    <w:rsid w:val="00D81EE3"/>
    <w:rsid w:val="00D82164"/>
    <w:rsid w:val="00D82388"/>
    <w:rsid w:val="00D82595"/>
    <w:rsid w:val="00D829CA"/>
    <w:rsid w:val="00D832E0"/>
    <w:rsid w:val="00D83B47"/>
    <w:rsid w:val="00D83BD2"/>
    <w:rsid w:val="00D83C9E"/>
    <w:rsid w:val="00D84113"/>
    <w:rsid w:val="00D841B2"/>
    <w:rsid w:val="00D8447D"/>
    <w:rsid w:val="00D8450D"/>
    <w:rsid w:val="00D857C7"/>
    <w:rsid w:val="00D85CC3"/>
    <w:rsid w:val="00D85EAF"/>
    <w:rsid w:val="00D8667B"/>
    <w:rsid w:val="00D86E9C"/>
    <w:rsid w:val="00D87412"/>
    <w:rsid w:val="00D87D98"/>
    <w:rsid w:val="00D87E0F"/>
    <w:rsid w:val="00D90013"/>
    <w:rsid w:val="00D90438"/>
    <w:rsid w:val="00D9054B"/>
    <w:rsid w:val="00D9088D"/>
    <w:rsid w:val="00D919FA"/>
    <w:rsid w:val="00D91DF6"/>
    <w:rsid w:val="00D93685"/>
    <w:rsid w:val="00D937F6"/>
    <w:rsid w:val="00D93D20"/>
    <w:rsid w:val="00D95471"/>
    <w:rsid w:val="00D95CC1"/>
    <w:rsid w:val="00D9667D"/>
    <w:rsid w:val="00D96C13"/>
    <w:rsid w:val="00D97EEC"/>
    <w:rsid w:val="00D97FE9"/>
    <w:rsid w:val="00DA06B1"/>
    <w:rsid w:val="00DA0847"/>
    <w:rsid w:val="00DA1281"/>
    <w:rsid w:val="00DA1F93"/>
    <w:rsid w:val="00DA224E"/>
    <w:rsid w:val="00DA25D3"/>
    <w:rsid w:val="00DA32B4"/>
    <w:rsid w:val="00DA362B"/>
    <w:rsid w:val="00DA382E"/>
    <w:rsid w:val="00DA3ED5"/>
    <w:rsid w:val="00DA470F"/>
    <w:rsid w:val="00DA4D5B"/>
    <w:rsid w:val="00DA5C0D"/>
    <w:rsid w:val="00DA5C22"/>
    <w:rsid w:val="00DA642A"/>
    <w:rsid w:val="00DA6D05"/>
    <w:rsid w:val="00DA6DB4"/>
    <w:rsid w:val="00DA7D55"/>
    <w:rsid w:val="00DB00DB"/>
    <w:rsid w:val="00DB04CE"/>
    <w:rsid w:val="00DB0EBF"/>
    <w:rsid w:val="00DB116D"/>
    <w:rsid w:val="00DB1E7D"/>
    <w:rsid w:val="00DB2C1E"/>
    <w:rsid w:val="00DB34EC"/>
    <w:rsid w:val="00DB360E"/>
    <w:rsid w:val="00DB395C"/>
    <w:rsid w:val="00DB408D"/>
    <w:rsid w:val="00DB4600"/>
    <w:rsid w:val="00DB5123"/>
    <w:rsid w:val="00DB55CC"/>
    <w:rsid w:val="00DB5A51"/>
    <w:rsid w:val="00DB6395"/>
    <w:rsid w:val="00DB69DC"/>
    <w:rsid w:val="00DB727A"/>
    <w:rsid w:val="00DB7F9D"/>
    <w:rsid w:val="00DC14D3"/>
    <w:rsid w:val="00DC39B2"/>
    <w:rsid w:val="00DC4C5E"/>
    <w:rsid w:val="00DC4CEC"/>
    <w:rsid w:val="00DC51C6"/>
    <w:rsid w:val="00DC5650"/>
    <w:rsid w:val="00DC7937"/>
    <w:rsid w:val="00DD0E23"/>
    <w:rsid w:val="00DD16B0"/>
    <w:rsid w:val="00DD174B"/>
    <w:rsid w:val="00DD1C53"/>
    <w:rsid w:val="00DD2217"/>
    <w:rsid w:val="00DD3A73"/>
    <w:rsid w:val="00DD3ABC"/>
    <w:rsid w:val="00DD3F3B"/>
    <w:rsid w:val="00DD4DFF"/>
    <w:rsid w:val="00DD4EF4"/>
    <w:rsid w:val="00DD510C"/>
    <w:rsid w:val="00DD6DF3"/>
    <w:rsid w:val="00DD6E1C"/>
    <w:rsid w:val="00DE0762"/>
    <w:rsid w:val="00DE1E31"/>
    <w:rsid w:val="00DE202B"/>
    <w:rsid w:val="00DE2493"/>
    <w:rsid w:val="00DE249C"/>
    <w:rsid w:val="00DE25EC"/>
    <w:rsid w:val="00DE2B19"/>
    <w:rsid w:val="00DE2DF0"/>
    <w:rsid w:val="00DE2E61"/>
    <w:rsid w:val="00DE2FFC"/>
    <w:rsid w:val="00DE3152"/>
    <w:rsid w:val="00DE316D"/>
    <w:rsid w:val="00DE3206"/>
    <w:rsid w:val="00DE32ED"/>
    <w:rsid w:val="00DE33A9"/>
    <w:rsid w:val="00DE33E2"/>
    <w:rsid w:val="00DE379B"/>
    <w:rsid w:val="00DE41DF"/>
    <w:rsid w:val="00DE51F9"/>
    <w:rsid w:val="00DE5337"/>
    <w:rsid w:val="00DE5488"/>
    <w:rsid w:val="00DE5649"/>
    <w:rsid w:val="00DE5885"/>
    <w:rsid w:val="00DE6346"/>
    <w:rsid w:val="00DE665C"/>
    <w:rsid w:val="00DE6C45"/>
    <w:rsid w:val="00DE7366"/>
    <w:rsid w:val="00DE77EB"/>
    <w:rsid w:val="00DE79EA"/>
    <w:rsid w:val="00DE7A3E"/>
    <w:rsid w:val="00DF063F"/>
    <w:rsid w:val="00DF0FEA"/>
    <w:rsid w:val="00DF2837"/>
    <w:rsid w:val="00DF3122"/>
    <w:rsid w:val="00DF32E1"/>
    <w:rsid w:val="00DF4AC1"/>
    <w:rsid w:val="00DF4D79"/>
    <w:rsid w:val="00DF5384"/>
    <w:rsid w:val="00DF56A4"/>
    <w:rsid w:val="00DF712F"/>
    <w:rsid w:val="00DF720B"/>
    <w:rsid w:val="00DF7236"/>
    <w:rsid w:val="00DF7939"/>
    <w:rsid w:val="00DF7948"/>
    <w:rsid w:val="00DF7A5D"/>
    <w:rsid w:val="00DF7BD7"/>
    <w:rsid w:val="00DF7CC7"/>
    <w:rsid w:val="00E00B06"/>
    <w:rsid w:val="00E00CE7"/>
    <w:rsid w:val="00E010C6"/>
    <w:rsid w:val="00E01106"/>
    <w:rsid w:val="00E01255"/>
    <w:rsid w:val="00E02512"/>
    <w:rsid w:val="00E0386D"/>
    <w:rsid w:val="00E03DC9"/>
    <w:rsid w:val="00E04597"/>
    <w:rsid w:val="00E04CEF"/>
    <w:rsid w:val="00E04F66"/>
    <w:rsid w:val="00E0534B"/>
    <w:rsid w:val="00E058C9"/>
    <w:rsid w:val="00E05F47"/>
    <w:rsid w:val="00E06003"/>
    <w:rsid w:val="00E06D8B"/>
    <w:rsid w:val="00E06F56"/>
    <w:rsid w:val="00E1110A"/>
    <w:rsid w:val="00E1134D"/>
    <w:rsid w:val="00E11AD2"/>
    <w:rsid w:val="00E1274A"/>
    <w:rsid w:val="00E12B9C"/>
    <w:rsid w:val="00E12DF0"/>
    <w:rsid w:val="00E1341A"/>
    <w:rsid w:val="00E13A75"/>
    <w:rsid w:val="00E1406C"/>
    <w:rsid w:val="00E1459C"/>
    <w:rsid w:val="00E146A1"/>
    <w:rsid w:val="00E1571F"/>
    <w:rsid w:val="00E1610E"/>
    <w:rsid w:val="00E17818"/>
    <w:rsid w:val="00E17A8F"/>
    <w:rsid w:val="00E20270"/>
    <w:rsid w:val="00E20528"/>
    <w:rsid w:val="00E2163B"/>
    <w:rsid w:val="00E21B31"/>
    <w:rsid w:val="00E21C7D"/>
    <w:rsid w:val="00E233F9"/>
    <w:rsid w:val="00E24721"/>
    <w:rsid w:val="00E248EB"/>
    <w:rsid w:val="00E24A95"/>
    <w:rsid w:val="00E24BA2"/>
    <w:rsid w:val="00E251C9"/>
    <w:rsid w:val="00E25522"/>
    <w:rsid w:val="00E25867"/>
    <w:rsid w:val="00E25B07"/>
    <w:rsid w:val="00E26995"/>
    <w:rsid w:val="00E269A7"/>
    <w:rsid w:val="00E27183"/>
    <w:rsid w:val="00E27558"/>
    <w:rsid w:val="00E27C98"/>
    <w:rsid w:val="00E27F21"/>
    <w:rsid w:val="00E300A6"/>
    <w:rsid w:val="00E30BBD"/>
    <w:rsid w:val="00E30BFB"/>
    <w:rsid w:val="00E31347"/>
    <w:rsid w:val="00E315E0"/>
    <w:rsid w:val="00E32321"/>
    <w:rsid w:val="00E3294F"/>
    <w:rsid w:val="00E32A30"/>
    <w:rsid w:val="00E32CB8"/>
    <w:rsid w:val="00E3334B"/>
    <w:rsid w:val="00E33A81"/>
    <w:rsid w:val="00E3406F"/>
    <w:rsid w:val="00E34760"/>
    <w:rsid w:val="00E3551C"/>
    <w:rsid w:val="00E37383"/>
    <w:rsid w:val="00E37639"/>
    <w:rsid w:val="00E402DC"/>
    <w:rsid w:val="00E41FB9"/>
    <w:rsid w:val="00E42E8F"/>
    <w:rsid w:val="00E43E90"/>
    <w:rsid w:val="00E44169"/>
    <w:rsid w:val="00E444C4"/>
    <w:rsid w:val="00E44AD9"/>
    <w:rsid w:val="00E44E87"/>
    <w:rsid w:val="00E451F4"/>
    <w:rsid w:val="00E45574"/>
    <w:rsid w:val="00E4641E"/>
    <w:rsid w:val="00E46B40"/>
    <w:rsid w:val="00E474EA"/>
    <w:rsid w:val="00E5069F"/>
    <w:rsid w:val="00E51566"/>
    <w:rsid w:val="00E51568"/>
    <w:rsid w:val="00E5360C"/>
    <w:rsid w:val="00E53C22"/>
    <w:rsid w:val="00E54717"/>
    <w:rsid w:val="00E56B19"/>
    <w:rsid w:val="00E57056"/>
    <w:rsid w:val="00E57633"/>
    <w:rsid w:val="00E57815"/>
    <w:rsid w:val="00E601E5"/>
    <w:rsid w:val="00E604FF"/>
    <w:rsid w:val="00E60BA1"/>
    <w:rsid w:val="00E612EA"/>
    <w:rsid w:val="00E61332"/>
    <w:rsid w:val="00E613CF"/>
    <w:rsid w:val="00E62150"/>
    <w:rsid w:val="00E624F1"/>
    <w:rsid w:val="00E627BF"/>
    <w:rsid w:val="00E62F71"/>
    <w:rsid w:val="00E64E99"/>
    <w:rsid w:val="00E6627B"/>
    <w:rsid w:val="00E66742"/>
    <w:rsid w:val="00E66BBD"/>
    <w:rsid w:val="00E66D96"/>
    <w:rsid w:val="00E66D9E"/>
    <w:rsid w:val="00E67409"/>
    <w:rsid w:val="00E676CD"/>
    <w:rsid w:val="00E67B47"/>
    <w:rsid w:val="00E67DB3"/>
    <w:rsid w:val="00E70F01"/>
    <w:rsid w:val="00E714CD"/>
    <w:rsid w:val="00E71B43"/>
    <w:rsid w:val="00E721B5"/>
    <w:rsid w:val="00E723FE"/>
    <w:rsid w:val="00E72441"/>
    <w:rsid w:val="00E72D2E"/>
    <w:rsid w:val="00E7301F"/>
    <w:rsid w:val="00E7308B"/>
    <w:rsid w:val="00E73465"/>
    <w:rsid w:val="00E73BFB"/>
    <w:rsid w:val="00E74333"/>
    <w:rsid w:val="00E75F43"/>
    <w:rsid w:val="00E804BD"/>
    <w:rsid w:val="00E812BD"/>
    <w:rsid w:val="00E81482"/>
    <w:rsid w:val="00E81924"/>
    <w:rsid w:val="00E81A34"/>
    <w:rsid w:val="00E81CBD"/>
    <w:rsid w:val="00E82023"/>
    <w:rsid w:val="00E827D7"/>
    <w:rsid w:val="00E82EF3"/>
    <w:rsid w:val="00E83043"/>
    <w:rsid w:val="00E837DD"/>
    <w:rsid w:val="00E83E19"/>
    <w:rsid w:val="00E84B6C"/>
    <w:rsid w:val="00E85306"/>
    <w:rsid w:val="00E8576C"/>
    <w:rsid w:val="00E85E31"/>
    <w:rsid w:val="00E85FD3"/>
    <w:rsid w:val="00E8617C"/>
    <w:rsid w:val="00E8779E"/>
    <w:rsid w:val="00E91356"/>
    <w:rsid w:val="00E91406"/>
    <w:rsid w:val="00E9186D"/>
    <w:rsid w:val="00E91E44"/>
    <w:rsid w:val="00E9249F"/>
    <w:rsid w:val="00E92746"/>
    <w:rsid w:val="00E927E1"/>
    <w:rsid w:val="00E9318E"/>
    <w:rsid w:val="00E945EE"/>
    <w:rsid w:val="00E947F0"/>
    <w:rsid w:val="00E953E8"/>
    <w:rsid w:val="00E9543D"/>
    <w:rsid w:val="00E95679"/>
    <w:rsid w:val="00E96457"/>
    <w:rsid w:val="00E96D65"/>
    <w:rsid w:val="00E9750A"/>
    <w:rsid w:val="00E97C75"/>
    <w:rsid w:val="00EA0C55"/>
    <w:rsid w:val="00EA1169"/>
    <w:rsid w:val="00EA1584"/>
    <w:rsid w:val="00EA1633"/>
    <w:rsid w:val="00EA18F9"/>
    <w:rsid w:val="00EA19C4"/>
    <w:rsid w:val="00EA202F"/>
    <w:rsid w:val="00EA223B"/>
    <w:rsid w:val="00EA28C3"/>
    <w:rsid w:val="00EA3852"/>
    <w:rsid w:val="00EA403A"/>
    <w:rsid w:val="00EA456A"/>
    <w:rsid w:val="00EA4C07"/>
    <w:rsid w:val="00EA6E0F"/>
    <w:rsid w:val="00EB0644"/>
    <w:rsid w:val="00EB0695"/>
    <w:rsid w:val="00EB0FEF"/>
    <w:rsid w:val="00EB12B3"/>
    <w:rsid w:val="00EB13AD"/>
    <w:rsid w:val="00EB208E"/>
    <w:rsid w:val="00EB2B9A"/>
    <w:rsid w:val="00EB2FFC"/>
    <w:rsid w:val="00EB320E"/>
    <w:rsid w:val="00EB367A"/>
    <w:rsid w:val="00EB4982"/>
    <w:rsid w:val="00EB4D2E"/>
    <w:rsid w:val="00EB6FB1"/>
    <w:rsid w:val="00EB7726"/>
    <w:rsid w:val="00EB7C1E"/>
    <w:rsid w:val="00EC0342"/>
    <w:rsid w:val="00EC06EE"/>
    <w:rsid w:val="00EC1CF4"/>
    <w:rsid w:val="00EC1E6C"/>
    <w:rsid w:val="00EC30E3"/>
    <w:rsid w:val="00EC345E"/>
    <w:rsid w:val="00EC3B64"/>
    <w:rsid w:val="00EC4701"/>
    <w:rsid w:val="00EC5D82"/>
    <w:rsid w:val="00EC6389"/>
    <w:rsid w:val="00EC733D"/>
    <w:rsid w:val="00EC76F6"/>
    <w:rsid w:val="00ED08F9"/>
    <w:rsid w:val="00ED0B58"/>
    <w:rsid w:val="00ED1462"/>
    <w:rsid w:val="00ED22A7"/>
    <w:rsid w:val="00ED29B0"/>
    <w:rsid w:val="00ED2CF8"/>
    <w:rsid w:val="00ED2D83"/>
    <w:rsid w:val="00ED3C2A"/>
    <w:rsid w:val="00ED53D8"/>
    <w:rsid w:val="00ED574F"/>
    <w:rsid w:val="00ED71E6"/>
    <w:rsid w:val="00ED754F"/>
    <w:rsid w:val="00EE0851"/>
    <w:rsid w:val="00EE288F"/>
    <w:rsid w:val="00EE2951"/>
    <w:rsid w:val="00EE2B6A"/>
    <w:rsid w:val="00EE2D3A"/>
    <w:rsid w:val="00EE2F2D"/>
    <w:rsid w:val="00EE3186"/>
    <w:rsid w:val="00EE389F"/>
    <w:rsid w:val="00EE42D5"/>
    <w:rsid w:val="00EE4DE7"/>
    <w:rsid w:val="00EE61AB"/>
    <w:rsid w:val="00EF012E"/>
    <w:rsid w:val="00EF1124"/>
    <w:rsid w:val="00EF155B"/>
    <w:rsid w:val="00EF2AA7"/>
    <w:rsid w:val="00EF2AE4"/>
    <w:rsid w:val="00EF2FDE"/>
    <w:rsid w:val="00EF3288"/>
    <w:rsid w:val="00EF3D38"/>
    <w:rsid w:val="00EF3DC3"/>
    <w:rsid w:val="00EF48DB"/>
    <w:rsid w:val="00EF495F"/>
    <w:rsid w:val="00EF5226"/>
    <w:rsid w:val="00EF5979"/>
    <w:rsid w:val="00EF5FD4"/>
    <w:rsid w:val="00EF68BD"/>
    <w:rsid w:val="00F004AD"/>
    <w:rsid w:val="00F00751"/>
    <w:rsid w:val="00F00836"/>
    <w:rsid w:val="00F02195"/>
    <w:rsid w:val="00F0296E"/>
    <w:rsid w:val="00F036DB"/>
    <w:rsid w:val="00F0472F"/>
    <w:rsid w:val="00F04837"/>
    <w:rsid w:val="00F0559C"/>
    <w:rsid w:val="00F0591B"/>
    <w:rsid w:val="00F05CD8"/>
    <w:rsid w:val="00F0615D"/>
    <w:rsid w:val="00F06726"/>
    <w:rsid w:val="00F0775E"/>
    <w:rsid w:val="00F07799"/>
    <w:rsid w:val="00F110E8"/>
    <w:rsid w:val="00F11788"/>
    <w:rsid w:val="00F11F26"/>
    <w:rsid w:val="00F12E26"/>
    <w:rsid w:val="00F13622"/>
    <w:rsid w:val="00F13FCE"/>
    <w:rsid w:val="00F15987"/>
    <w:rsid w:val="00F1610E"/>
    <w:rsid w:val="00F16609"/>
    <w:rsid w:val="00F16A22"/>
    <w:rsid w:val="00F16B87"/>
    <w:rsid w:val="00F16E2B"/>
    <w:rsid w:val="00F17DA6"/>
    <w:rsid w:val="00F2111B"/>
    <w:rsid w:val="00F2130D"/>
    <w:rsid w:val="00F21B64"/>
    <w:rsid w:val="00F2211E"/>
    <w:rsid w:val="00F224EE"/>
    <w:rsid w:val="00F224F0"/>
    <w:rsid w:val="00F226BE"/>
    <w:rsid w:val="00F227F0"/>
    <w:rsid w:val="00F22A5B"/>
    <w:rsid w:val="00F23B47"/>
    <w:rsid w:val="00F23DF5"/>
    <w:rsid w:val="00F245E2"/>
    <w:rsid w:val="00F254A1"/>
    <w:rsid w:val="00F26187"/>
    <w:rsid w:val="00F264B8"/>
    <w:rsid w:val="00F27568"/>
    <w:rsid w:val="00F276A1"/>
    <w:rsid w:val="00F304E4"/>
    <w:rsid w:val="00F30761"/>
    <w:rsid w:val="00F31DCF"/>
    <w:rsid w:val="00F321C9"/>
    <w:rsid w:val="00F32346"/>
    <w:rsid w:val="00F33412"/>
    <w:rsid w:val="00F33532"/>
    <w:rsid w:val="00F33900"/>
    <w:rsid w:val="00F33B34"/>
    <w:rsid w:val="00F34151"/>
    <w:rsid w:val="00F3455E"/>
    <w:rsid w:val="00F35AAD"/>
    <w:rsid w:val="00F35F29"/>
    <w:rsid w:val="00F36065"/>
    <w:rsid w:val="00F36BE0"/>
    <w:rsid w:val="00F37042"/>
    <w:rsid w:val="00F37572"/>
    <w:rsid w:val="00F37C54"/>
    <w:rsid w:val="00F37CFC"/>
    <w:rsid w:val="00F37DB7"/>
    <w:rsid w:val="00F37F00"/>
    <w:rsid w:val="00F40825"/>
    <w:rsid w:val="00F41061"/>
    <w:rsid w:val="00F418FC"/>
    <w:rsid w:val="00F43040"/>
    <w:rsid w:val="00F43116"/>
    <w:rsid w:val="00F43FD2"/>
    <w:rsid w:val="00F45507"/>
    <w:rsid w:val="00F45DD9"/>
    <w:rsid w:val="00F460BD"/>
    <w:rsid w:val="00F4740C"/>
    <w:rsid w:val="00F47772"/>
    <w:rsid w:val="00F477D3"/>
    <w:rsid w:val="00F4794D"/>
    <w:rsid w:val="00F47FF5"/>
    <w:rsid w:val="00F50071"/>
    <w:rsid w:val="00F5008F"/>
    <w:rsid w:val="00F513F9"/>
    <w:rsid w:val="00F5204A"/>
    <w:rsid w:val="00F5242C"/>
    <w:rsid w:val="00F52DD9"/>
    <w:rsid w:val="00F5404D"/>
    <w:rsid w:val="00F54987"/>
    <w:rsid w:val="00F54DAD"/>
    <w:rsid w:val="00F54F81"/>
    <w:rsid w:val="00F553C7"/>
    <w:rsid w:val="00F57263"/>
    <w:rsid w:val="00F57380"/>
    <w:rsid w:val="00F57668"/>
    <w:rsid w:val="00F57852"/>
    <w:rsid w:val="00F57939"/>
    <w:rsid w:val="00F604E9"/>
    <w:rsid w:val="00F6063E"/>
    <w:rsid w:val="00F60770"/>
    <w:rsid w:val="00F60923"/>
    <w:rsid w:val="00F61473"/>
    <w:rsid w:val="00F61E25"/>
    <w:rsid w:val="00F61E7C"/>
    <w:rsid w:val="00F62081"/>
    <w:rsid w:val="00F62143"/>
    <w:rsid w:val="00F62AB9"/>
    <w:rsid w:val="00F63192"/>
    <w:rsid w:val="00F63B58"/>
    <w:rsid w:val="00F64D17"/>
    <w:rsid w:val="00F65107"/>
    <w:rsid w:val="00F65523"/>
    <w:rsid w:val="00F6664F"/>
    <w:rsid w:val="00F66844"/>
    <w:rsid w:val="00F67A24"/>
    <w:rsid w:val="00F7010C"/>
    <w:rsid w:val="00F701AD"/>
    <w:rsid w:val="00F704BF"/>
    <w:rsid w:val="00F708F0"/>
    <w:rsid w:val="00F70DF6"/>
    <w:rsid w:val="00F7132F"/>
    <w:rsid w:val="00F71F4E"/>
    <w:rsid w:val="00F7217B"/>
    <w:rsid w:val="00F72749"/>
    <w:rsid w:val="00F72A64"/>
    <w:rsid w:val="00F73508"/>
    <w:rsid w:val="00F73993"/>
    <w:rsid w:val="00F73E08"/>
    <w:rsid w:val="00F7437C"/>
    <w:rsid w:val="00F746A1"/>
    <w:rsid w:val="00F74C1E"/>
    <w:rsid w:val="00F74F58"/>
    <w:rsid w:val="00F757E5"/>
    <w:rsid w:val="00F7593D"/>
    <w:rsid w:val="00F75B7C"/>
    <w:rsid w:val="00F76455"/>
    <w:rsid w:val="00F76B8F"/>
    <w:rsid w:val="00F76ED4"/>
    <w:rsid w:val="00F77071"/>
    <w:rsid w:val="00F77C03"/>
    <w:rsid w:val="00F77FA1"/>
    <w:rsid w:val="00F80DCC"/>
    <w:rsid w:val="00F837FF"/>
    <w:rsid w:val="00F83A6C"/>
    <w:rsid w:val="00F83EE7"/>
    <w:rsid w:val="00F8402A"/>
    <w:rsid w:val="00F8450B"/>
    <w:rsid w:val="00F84F87"/>
    <w:rsid w:val="00F85F23"/>
    <w:rsid w:val="00F86A5D"/>
    <w:rsid w:val="00F87E0E"/>
    <w:rsid w:val="00F903FE"/>
    <w:rsid w:val="00F90575"/>
    <w:rsid w:val="00F9086D"/>
    <w:rsid w:val="00F9099F"/>
    <w:rsid w:val="00F909AC"/>
    <w:rsid w:val="00F9247C"/>
    <w:rsid w:val="00F9251C"/>
    <w:rsid w:val="00F9301F"/>
    <w:rsid w:val="00F9304A"/>
    <w:rsid w:val="00F93297"/>
    <w:rsid w:val="00F93B1E"/>
    <w:rsid w:val="00F94111"/>
    <w:rsid w:val="00F952EE"/>
    <w:rsid w:val="00F95320"/>
    <w:rsid w:val="00F95738"/>
    <w:rsid w:val="00F96C96"/>
    <w:rsid w:val="00F96F0A"/>
    <w:rsid w:val="00F97617"/>
    <w:rsid w:val="00F97DF8"/>
    <w:rsid w:val="00FA0694"/>
    <w:rsid w:val="00FA0CD4"/>
    <w:rsid w:val="00FA0F06"/>
    <w:rsid w:val="00FA18C7"/>
    <w:rsid w:val="00FA1EBD"/>
    <w:rsid w:val="00FA2E87"/>
    <w:rsid w:val="00FA33CB"/>
    <w:rsid w:val="00FA5116"/>
    <w:rsid w:val="00FA5451"/>
    <w:rsid w:val="00FA55C2"/>
    <w:rsid w:val="00FA7951"/>
    <w:rsid w:val="00FB094A"/>
    <w:rsid w:val="00FB1129"/>
    <w:rsid w:val="00FB172F"/>
    <w:rsid w:val="00FB1B3E"/>
    <w:rsid w:val="00FB1E55"/>
    <w:rsid w:val="00FB2BF9"/>
    <w:rsid w:val="00FB3458"/>
    <w:rsid w:val="00FB539A"/>
    <w:rsid w:val="00FB589A"/>
    <w:rsid w:val="00FB5A96"/>
    <w:rsid w:val="00FB5B42"/>
    <w:rsid w:val="00FB5F4B"/>
    <w:rsid w:val="00FB6B8E"/>
    <w:rsid w:val="00FB7361"/>
    <w:rsid w:val="00FB7719"/>
    <w:rsid w:val="00FC0228"/>
    <w:rsid w:val="00FC024B"/>
    <w:rsid w:val="00FC0839"/>
    <w:rsid w:val="00FC289E"/>
    <w:rsid w:val="00FC46DF"/>
    <w:rsid w:val="00FC5DF3"/>
    <w:rsid w:val="00FC6614"/>
    <w:rsid w:val="00FC6C37"/>
    <w:rsid w:val="00FC6D34"/>
    <w:rsid w:val="00FC6E7F"/>
    <w:rsid w:val="00FC7137"/>
    <w:rsid w:val="00FC744A"/>
    <w:rsid w:val="00FC768D"/>
    <w:rsid w:val="00FC7A03"/>
    <w:rsid w:val="00FD03D0"/>
    <w:rsid w:val="00FD0459"/>
    <w:rsid w:val="00FD0E28"/>
    <w:rsid w:val="00FD1688"/>
    <w:rsid w:val="00FD18A0"/>
    <w:rsid w:val="00FD1AD2"/>
    <w:rsid w:val="00FD2A6C"/>
    <w:rsid w:val="00FD2B63"/>
    <w:rsid w:val="00FD3401"/>
    <w:rsid w:val="00FD3807"/>
    <w:rsid w:val="00FD3BC2"/>
    <w:rsid w:val="00FD3C33"/>
    <w:rsid w:val="00FD3D0E"/>
    <w:rsid w:val="00FD3D81"/>
    <w:rsid w:val="00FD4C00"/>
    <w:rsid w:val="00FD4DC7"/>
    <w:rsid w:val="00FD63BC"/>
    <w:rsid w:val="00FD6FB6"/>
    <w:rsid w:val="00FD7392"/>
    <w:rsid w:val="00FD756F"/>
    <w:rsid w:val="00FD7ABD"/>
    <w:rsid w:val="00FE017E"/>
    <w:rsid w:val="00FE27DB"/>
    <w:rsid w:val="00FE3490"/>
    <w:rsid w:val="00FE37E6"/>
    <w:rsid w:val="00FE3C36"/>
    <w:rsid w:val="00FE3F4E"/>
    <w:rsid w:val="00FE401C"/>
    <w:rsid w:val="00FE45E2"/>
    <w:rsid w:val="00FE4AFC"/>
    <w:rsid w:val="00FE504E"/>
    <w:rsid w:val="00FE535B"/>
    <w:rsid w:val="00FE6D59"/>
    <w:rsid w:val="00FE70E1"/>
    <w:rsid w:val="00FE72C4"/>
    <w:rsid w:val="00FE75FD"/>
    <w:rsid w:val="00FF09BB"/>
    <w:rsid w:val="00FF0E17"/>
    <w:rsid w:val="00FF12A7"/>
    <w:rsid w:val="00FF190D"/>
    <w:rsid w:val="00FF1A5D"/>
    <w:rsid w:val="00FF254F"/>
    <w:rsid w:val="00FF2C92"/>
    <w:rsid w:val="00FF311C"/>
    <w:rsid w:val="00FF346C"/>
    <w:rsid w:val="00FF3ABF"/>
    <w:rsid w:val="00FF3B95"/>
    <w:rsid w:val="00FF4067"/>
    <w:rsid w:val="00FF5457"/>
    <w:rsid w:val="00FF5831"/>
    <w:rsid w:val="00FF6F65"/>
    <w:rsid w:val="00FF7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70CF6-D0B7-434B-BC5A-AC8E77E5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F9"/>
  </w:style>
  <w:style w:type="paragraph" w:styleId="Ttulo3">
    <w:name w:val="heading 3"/>
    <w:basedOn w:val="Normal"/>
    <w:next w:val="Normal"/>
    <w:link w:val="Ttulo3Char"/>
    <w:qFormat/>
    <w:rsid w:val="00191869"/>
    <w:pPr>
      <w:keepNext/>
      <w:spacing w:after="0" w:line="240" w:lineRule="auto"/>
      <w:outlineLvl w:val="2"/>
    </w:pPr>
    <w:rPr>
      <w:rFonts w:ascii="Times New Roman" w:eastAsia="Times New Roman" w:hAnsi="Times New Roman" w:cs="Times New Roman"/>
      <w:b/>
      <w:bCs/>
      <w:szCs w:val="24"/>
      <w:lang w:eastAsia="pt-BR"/>
    </w:rPr>
  </w:style>
  <w:style w:type="paragraph" w:styleId="Ttulo4">
    <w:name w:val="heading 4"/>
    <w:basedOn w:val="Normal"/>
    <w:next w:val="Normal"/>
    <w:link w:val="Ttulo4Char"/>
    <w:qFormat/>
    <w:rsid w:val="00191869"/>
    <w:pPr>
      <w:keepNext/>
      <w:spacing w:after="0" w:line="240" w:lineRule="auto"/>
      <w:jc w:val="center"/>
      <w:outlineLvl w:val="3"/>
    </w:pPr>
    <w:rPr>
      <w:rFonts w:ascii="Times New Roman" w:eastAsia="Times New Roman" w:hAnsi="Times New Roman" w:cs="Times New Roman"/>
      <w:b/>
      <w:bCs/>
      <w:szCs w:val="24"/>
      <w:lang w:eastAsia="pt-BR"/>
    </w:rPr>
  </w:style>
  <w:style w:type="paragraph" w:styleId="Ttulo5">
    <w:name w:val="heading 5"/>
    <w:basedOn w:val="Normal"/>
    <w:next w:val="Normal"/>
    <w:link w:val="Ttulo5Char"/>
    <w:qFormat/>
    <w:rsid w:val="00191869"/>
    <w:pPr>
      <w:keepNext/>
      <w:spacing w:after="0" w:line="240" w:lineRule="auto"/>
      <w:jc w:val="center"/>
      <w:outlineLvl w:val="4"/>
    </w:pPr>
    <w:rPr>
      <w:rFonts w:ascii="Times New Roman" w:eastAsia="Times New Roman" w:hAnsi="Times New Roman" w:cs="Times New Roman"/>
      <w:b/>
      <w:bCs/>
      <w:color w:val="000000"/>
      <w:sz w:val="24"/>
      <w:szCs w:val="24"/>
      <w:lang w:eastAsia="pt-BR"/>
    </w:rPr>
  </w:style>
  <w:style w:type="paragraph" w:styleId="Ttulo6">
    <w:name w:val="heading 6"/>
    <w:basedOn w:val="Normal"/>
    <w:next w:val="Normal"/>
    <w:link w:val="Ttulo6Char"/>
    <w:qFormat/>
    <w:rsid w:val="00191869"/>
    <w:pPr>
      <w:keepNext/>
      <w:spacing w:after="0" w:line="240" w:lineRule="auto"/>
      <w:outlineLvl w:val="5"/>
    </w:pPr>
    <w:rPr>
      <w:rFonts w:ascii="Times New Roman" w:eastAsia="Times New Roman" w:hAnsi="Times New Roman" w:cs="Times New Roman"/>
      <w:b/>
      <w:bCs/>
      <w:sz w:val="32"/>
      <w:szCs w:val="24"/>
      <w:lang w:eastAsia="pt-BR"/>
    </w:rPr>
  </w:style>
  <w:style w:type="paragraph" w:styleId="Ttulo7">
    <w:name w:val="heading 7"/>
    <w:basedOn w:val="Normal"/>
    <w:next w:val="Normal"/>
    <w:link w:val="Ttulo7Char"/>
    <w:qFormat/>
    <w:rsid w:val="00191869"/>
    <w:pPr>
      <w:keepNext/>
      <w:spacing w:after="0" w:line="240" w:lineRule="auto"/>
      <w:jc w:val="right"/>
      <w:outlineLvl w:val="6"/>
    </w:pPr>
    <w:rPr>
      <w:rFonts w:ascii="Times New Roman" w:eastAsia="Times New Roman" w:hAnsi="Times New Roman" w:cs="Times New Roman"/>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B0306"/>
    <w:pPr>
      <w:tabs>
        <w:tab w:val="center" w:pos="4419"/>
        <w:tab w:val="right" w:pos="8838"/>
      </w:tabs>
      <w:spacing w:after="0" w:line="240" w:lineRule="auto"/>
    </w:pPr>
    <w:rPr>
      <w:rFonts w:ascii="Tahoma" w:eastAsia="Times New Roman" w:hAnsi="Tahoma" w:cs="Times New Roman"/>
      <w:szCs w:val="20"/>
      <w:lang w:eastAsia="pt-BR"/>
    </w:rPr>
  </w:style>
  <w:style w:type="character" w:customStyle="1" w:styleId="CabealhoChar">
    <w:name w:val="Cabeçalho Char"/>
    <w:basedOn w:val="Fontepargpadro"/>
    <w:link w:val="Cabealho"/>
    <w:rsid w:val="00CB0306"/>
    <w:rPr>
      <w:rFonts w:ascii="Tahoma" w:eastAsia="Times New Roman" w:hAnsi="Tahoma" w:cs="Times New Roman"/>
      <w:szCs w:val="20"/>
      <w:lang w:eastAsia="pt-BR"/>
    </w:rPr>
  </w:style>
  <w:style w:type="paragraph" w:styleId="Corpodetexto">
    <w:name w:val="Body Text"/>
    <w:basedOn w:val="Normal"/>
    <w:link w:val="CorpodetextoChar"/>
    <w:rsid w:val="00CB0306"/>
    <w:pPr>
      <w:spacing w:after="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CB0306"/>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CB03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306"/>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2A5E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A5EE2"/>
  </w:style>
  <w:style w:type="character" w:styleId="Refdecomentrio">
    <w:name w:val="annotation reference"/>
    <w:basedOn w:val="Fontepargpadro"/>
    <w:uiPriority w:val="99"/>
    <w:semiHidden/>
    <w:unhideWhenUsed/>
    <w:rsid w:val="004B1A8B"/>
    <w:rPr>
      <w:sz w:val="16"/>
      <w:szCs w:val="16"/>
    </w:rPr>
  </w:style>
  <w:style w:type="paragraph" w:styleId="Textodecomentrio">
    <w:name w:val="annotation text"/>
    <w:basedOn w:val="Normal"/>
    <w:link w:val="TextodecomentrioChar"/>
    <w:uiPriority w:val="99"/>
    <w:semiHidden/>
    <w:unhideWhenUsed/>
    <w:rsid w:val="004B1A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1A8B"/>
    <w:rPr>
      <w:sz w:val="20"/>
      <w:szCs w:val="20"/>
    </w:rPr>
  </w:style>
  <w:style w:type="paragraph" w:styleId="Assuntodocomentrio">
    <w:name w:val="annotation subject"/>
    <w:basedOn w:val="Textodecomentrio"/>
    <w:next w:val="Textodecomentrio"/>
    <w:link w:val="AssuntodocomentrioChar"/>
    <w:uiPriority w:val="99"/>
    <w:semiHidden/>
    <w:unhideWhenUsed/>
    <w:rsid w:val="004B1A8B"/>
    <w:rPr>
      <w:b/>
      <w:bCs/>
    </w:rPr>
  </w:style>
  <w:style w:type="character" w:customStyle="1" w:styleId="AssuntodocomentrioChar">
    <w:name w:val="Assunto do comentário Char"/>
    <w:basedOn w:val="TextodecomentrioChar"/>
    <w:link w:val="Assuntodocomentrio"/>
    <w:uiPriority w:val="99"/>
    <w:semiHidden/>
    <w:rsid w:val="004B1A8B"/>
    <w:rPr>
      <w:b/>
      <w:bCs/>
      <w:sz w:val="20"/>
      <w:szCs w:val="20"/>
    </w:rPr>
  </w:style>
  <w:style w:type="character" w:styleId="nfase">
    <w:name w:val="Emphasis"/>
    <w:basedOn w:val="Fontepargpadro"/>
    <w:uiPriority w:val="20"/>
    <w:qFormat/>
    <w:rsid w:val="00066A79"/>
    <w:rPr>
      <w:i/>
      <w:iCs/>
    </w:rPr>
  </w:style>
  <w:style w:type="character" w:customStyle="1" w:styleId="Ttulo3Char">
    <w:name w:val="Título 3 Char"/>
    <w:basedOn w:val="Fontepargpadro"/>
    <w:link w:val="Ttulo3"/>
    <w:rsid w:val="00191869"/>
    <w:rPr>
      <w:rFonts w:ascii="Times New Roman" w:eastAsia="Times New Roman" w:hAnsi="Times New Roman" w:cs="Times New Roman"/>
      <w:b/>
      <w:bCs/>
      <w:szCs w:val="24"/>
      <w:lang w:eastAsia="pt-BR"/>
    </w:rPr>
  </w:style>
  <w:style w:type="character" w:customStyle="1" w:styleId="Ttulo4Char">
    <w:name w:val="Título 4 Char"/>
    <w:basedOn w:val="Fontepargpadro"/>
    <w:link w:val="Ttulo4"/>
    <w:rsid w:val="00191869"/>
    <w:rPr>
      <w:rFonts w:ascii="Times New Roman" w:eastAsia="Times New Roman" w:hAnsi="Times New Roman" w:cs="Times New Roman"/>
      <w:b/>
      <w:bCs/>
      <w:szCs w:val="24"/>
      <w:lang w:eastAsia="pt-BR"/>
    </w:rPr>
  </w:style>
  <w:style w:type="character" w:customStyle="1" w:styleId="Ttulo5Char">
    <w:name w:val="Título 5 Char"/>
    <w:basedOn w:val="Fontepargpadro"/>
    <w:link w:val="Ttulo5"/>
    <w:rsid w:val="0019186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191869"/>
    <w:rPr>
      <w:rFonts w:ascii="Times New Roman" w:eastAsia="Times New Roman" w:hAnsi="Times New Roman" w:cs="Times New Roman"/>
      <w:b/>
      <w:bCs/>
      <w:sz w:val="32"/>
      <w:szCs w:val="24"/>
      <w:lang w:eastAsia="pt-BR"/>
    </w:rPr>
  </w:style>
  <w:style w:type="character" w:customStyle="1" w:styleId="Ttulo7Char">
    <w:name w:val="Título 7 Char"/>
    <w:basedOn w:val="Fontepargpadro"/>
    <w:link w:val="Ttulo7"/>
    <w:rsid w:val="00191869"/>
    <w:rPr>
      <w:rFonts w:ascii="Times New Roman" w:eastAsia="Times New Roman" w:hAnsi="Times New Roman" w:cs="Times New Roman"/>
      <w:b/>
      <w:bCs/>
      <w:sz w:val="18"/>
      <w:szCs w:val="24"/>
      <w:lang w:eastAsia="pt-BR"/>
    </w:rPr>
  </w:style>
  <w:style w:type="paragraph" w:styleId="Legenda">
    <w:name w:val="caption"/>
    <w:basedOn w:val="Normal"/>
    <w:next w:val="Normal"/>
    <w:qFormat/>
    <w:rsid w:val="00191869"/>
    <w:pPr>
      <w:spacing w:after="0" w:line="240" w:lineRule="auto"/>
      <w:jc w:val="center"/>
    </w:pPr>
    <w:rPr>
      <w:rFonts w:ascii="Times New Roman" w:eastAsia="Times New Roman" w:hAnsi="Times New Roman" w:cs="Times New Roman"/>
      <w:b/>
      <w:bCs/>
      <w:szCs w:val="24"/>
      <w:lang w:eastAsia="pt-BR"/>
    </w:rPr>
  </w:style>
  <w:style w:type="table" w:styleId="Tabelacomgrade">
    <w:name w:val="Table Grid"/>
    <w:basedOn w:val="Tabelanormal"/>
    <w:uiPriority w:val="59"/>
    <w:rsid w:val="0019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0641B"/>
    <w:pPr>
      <w:spacing w:after="0" w:line="240" w:lineRule="auto"/>
    </w:pPr>
  </w:style>
  <w:style w:type="paragraph" w:styleId="PargrafodaLista">
    <w:name w:val="List Paragraph"/>
    <w:basedOn w:val="Normal"/>
    <w:uiPriority w:val="34"/>
    <w:qFormat/>
    <w:rsid w:val="00675715"/>
    <w:pPr>
      <w:ind w:left="720"/>
      <w:contextualSpacing/>
    </w:pPr>
  </w:style>
  <w:style w:type="character" w:customStyle="1" w:styleId="fontstyle01">
    <w:name w:val="fontstyle01"/>
    <w:basedOn w:val="Fontepargpadro"/>
    <w:rsid w:val="005E5F00"/>
    <w:rPr>
      <w:rFonts w:ascii="Times-Roman" w:hAnsi="Times-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438">
      <w:bodyDiv w:val="1"/>
      <w:marLeft w:val="0"/>
      <w:marRight w:val="0"/>
      <w:marTop w:val="0"/>
      <w:marBottom w:val="0"/>
      <w:divBdr>
        <w:top w:val="none" w:sz="0" w:space="0" w:color="auto"/>
        <w:left w:val="none" w:sz="0" w:space="0" w:color="auto"/>
        <w:bottom w:val="none" w:sz="0" w:space="0" w:color="auto"/>
        <w:right w:val="none" w:sz="0" w:space="0" w:color="auto"/>
      </w:divBdr>
    </w:div>
    <w:div w:id="308559293">
      <w:bodyDiv w:val="1"/>
      <w:marLeft w:val="0"/>
      <w:marRight w:val="0"/>
      <w:marTop w:val="0"/>
      <w:marBottom w:val="0"/>
      <w:divBdr>
        <w:top w:val="none" w:sz="0" w:space="0" w:color="auto"/>
        <w:left w:val="none" w:sz="0" w:space="0" w:color="auto"/>
        <w:bottom w:val="none" w:sz="0" w:space="0" w:color="auto"/>
        <w:right w:val="none" w:sz="0" w:space="0" w:color="auto"/>
      </w:divBdr>
    </w:div>
    <w:div w:id="522281345">
      <w:bodyDiv w:val="1"/>
      <w:marLeft w:val="0"/>
      <w:marRight w:val="0"/>
      <w:marTop w:val="0"/>
      <w:marBottom w:val="0"/>
      <w:divBdr>
        <w:top w:val="none" w:sz="0" w:space="0" w:color="auto"/>
        <w:left w:val="none" w:sz="0" w:space="0" w:color="auto"/>
        <w:bottom w:val="none" w:sz="0" w:space="0" w:color="auto"/>
        <w:right w:val="none" w:sz="0" w:space="0" w:color="auto"/>
      </w:divBdr>
    </w:div>
    <w:div w:id="908879185">
      <w:bodyDiv w:val="1"/>
      <w:marLeft w:val="0"/>
      <w:marRight w:val="0"/>
      <w:marTop w:val="0"/>
      <w:marBottom w:val="0"/>
      <w:divBdr>
        <w:top w:val="none" w:sz="0" w:space="0" w:color="auto"/>
        <w:left w:val="none" w:sz="0" w:space="0" w:color="auto"/>
        <w:bottom w:val="none" w:sz="0" w:space="0" w:color="auto"/>
        <w:right w:val="none" w:sz="0" w:space="0" w:color="auto"/>
      </w:divBdr>
    </w:div>
    <w:div w:id="1339037143">
      <w:bodyDiv w:val="1"/>
      <w:marLeft w:val="0"/>
      <w:marRight w:val="0"/>
      <w:marTop w:val="0"/>
      <w:marBottom w:val="0"/>
      <w:divBdr>
        <w:top w:val="none" w:sz="0" w:space="0" w:color="auto"/>
        <w:left w:val="none" w:sz="0" w:space="0" w:color="auto"/>
        <w:bottom w:val="none" w:sz="0" w:space="0" w:color="auto"/>
        <w:right w:val="none" w:sz="0" w:space="0" w:color="auto"/>
      </w:divBdr>
    </w:div>
    <w:div w:id="1488206819">
      <w:bodyDiv w:val="1"/>
      <w:marLeft w:val="0"/>
      <w:marRight w:val="0"/>
      <w:marTop w:val="0"/>
      <w:marBottom w:val="0"/>
      <w:divBdr>
        <w:top w:val="none" w:sz="0" w:space="0" w:color="auto"/>
        <w:left w:val="none" w:sz="0" w:space="0" w:color="auto"/>
        <w:bottom w:val="none" w:sz="0" w:space="0" w:color="auto"/>
        <w:right w:val="none" w:sz="0" w:space="0" w:color="auto"/>
      </w:divBdr>
    </w:div>
    <w:div w:id="1509372293">
      <w:bodyDiv w:val="1"/>
      <w:marLeft w:val="0"/>
      <w:marRight w:val="0"/>
      <w:marTop w:val="0"/>
      <w:marBottom w:val="0"/>
      <w:divBdr>
        <w:top w:val="none" w:sz="0" w:space="0" w:color="auto"/>
        <w:left w:val="none" w:sz="0" w:space="0" w:color="auto"/>
        <w:bottom w:val="none" w:sz="0" w:space="0" w:color="auto"/>
        <w:right w:val="none" w:sz="0" w:space="0" w:color="auto"/>
      </w:divBdr>
    </w:div>
    <w:div w:id="1758593207">
      <w:bodyDiv w:val="1"/>
      <w:marLeft w:val="0"/>
      <w:marRight w:val="0"/>
      <w:marTop w:val="0"/>
      <w:marBottom w:val="0"/>
      <w:divBdr>
        <w:top w:val="none" w:sz="0" w:space="0" w:color="auto"/>
        <w:left w:val="none" w:sz="0" w:space="0" w:color="auto"/>
        <w:bottom w:val="none" w:sz="0" w:space="0" w:color="auto"/>
        <w:right w:val="none" w:sz="0" w:space="0" w:color="auto"/>
      </w:divBdr>
    </w:div>
    <w:div w:id="1913854982">
      <w:bodyDiv w:val="1"/>
      <w:marLeft w:val="0"/>
      <w:marRight w:val="0"/>
      <w:marTop w:val="0"/>
      <w:marBottom w:val="0"/>
      <w:divBdr>
        <w:top w:val="none" w:sz="0" w:space="0" w:color="auto"/>
        <w:left w:val="none" w:sz="0" w:space="0" w:color="auto"/>
        <w:bottom w:val="none" w:sz="0" w:space="0" w:color="auto"/>
        <w:right w:val="none" w:sz="0" w:space="0" w:color="auto"/>
      </w:divBdr>
    </w:div>
    <w:div w:id="1979872998">
      <w:bodyDiv w:val="1"/>
      <w:marLeft w:val="0"/>
      <w:marRight w:val="0"/>
      <w:marTop w:val="0"/>
      <w:marBottom w:val="0"/>
      <w:divBdr>
        <w:top w:val="none" w:sz="0" w:space="0" w:color="auto"/>
        <w:left w:val="none" w:sz="0" w:space="0" w:color="auto"/>
        <w:bottom w:val="none" w:sz="0" w:space="0" w:color="auto"/>
        <w:right w:val="none" w:sz="0" w:space="0" w:color="auto"/>
      </w:divBdr>
    </w:div>
    <w:div w:id="20109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1BA3-A067-4DA1-82BD-9B6310E4BEC2}">
  <ds:schemaRefs>
    <ds:schemaRef ds:uri="http://schemas.openxmlformats.org/officeDocument/2006/bibliography"/>
  </ds:schemaRefs>
</ds:datastoreItem>
</file>

<file path=customXml/itemProps2.xml><?xml version="1.0" encoding="utf-8"?>
<ds:datastoreItem xmlns:ds="http://schemas.openxmlformats.org/officeDocument/2006/customXml" ds:itemID="{D2197B94-EE22-49E5-8D2F-C53633C18B78}">
  <ds:schemaRefs>
    <ds:schemaRef ds:uri="http://schemas.openxmlformats.org/officeDocument/2006/bibliography"/>
  </ds:schemaRefs>
</ds:datastoreItem>
</file>

<file path=customXml/itemProps3.xml><?xml version="1.0" encoding="utf-8"?>
<ds:datastoreItem xmlns:ds="http://schemas.openxmlformats.org/officeDocument/2006/customXml" ds:itemID="{7801E0CF-4C7D-456F-87E1-43707602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4167</Words>
  <Characters>22503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Allex Albert Rodrigues - MPS</cp:lastModifiedBy>
  <cp:revision>2</cp:revision>
  <cp:lastPrinted>2018-11-26T12:41:00Z</cp:lastPrinted>
  <dcterms:created xsi:type="dcterms:W3CDTF">2018-11-27T21:53:00Z</dcterms:created>
  <dcterms:modified xsi:type="dcterms:W3CDTF">2018-11-27T21:53:00Z</dcterms:modified>
</cp:coreProperties>
</file>